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A5" w:rsidRDefault="004254A5" w:rsidP="00994D88">
      <w:pPr>
        <w:pStyle w:val="a7"/>
        <w:spacing w:after="120"/>
        <w:rPr>
          <w:sz w:val="24"/>
          <w:szCs w:val="24"/>
        </w:rPr>
      </w:pPr>
      <w:r>
        <w:rPr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55pt" o:ole="" filled="t">
            <v:fill color2="black"/>
            <v:imagedata r:id="rId9" o:title=""/>
          </v:shape>
          <o:OLEObject Type="Embed" ProgID="Word.Picture.8" ShapeID="_x0000_i1025" DrawAspect="Content" ObjectID="_1802159200" r:id="rId10"/>
        </w:object>
      </w:r>
    </w:p>
    <w:p w:rsidR="004254A5" w:rsidRDefault="004254A5" w:rsidP="002D7ABD">
      <w:pPr>
        <w:pStyle w:val="aa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ОБРАЗОВАНИЕ «ТОМСКИЙ РАЙОН»</w:t>
      </w:r>
    </w:p>
    <w:p w:rsidR="004254A5" w:rsidRDefault="004254A5" w:rsidP="002D7ABD">
      <w:pPr>
        <w:pStyle w:val="aa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254A5" w:rsidRDefault="004254A5" w:rsidP="002D7A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ТОМСКОГО РАЙОНА</w:t>
      </w:r>
    </w:p>
    <w:p w:rsidR="004254A5" w:rsidRDefault="004254A5" w:rsidP="002D7A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4A5" w:rsidRDefault="004254A5" w:rsidP="002D7AB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254A5" w:rsidRDefault="00994D88" w:rsidP="002D7ABD">
      <w:pPr>
        <w:pStyle w:val="ab"/>
        <w:tabs>
          <w:tab w:val="clear" w:pos="6804"/>
          <w:tab w:val="right" w:pos="1020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25.02.2025</w:t>
      </w:r>
      <w:r>
        <w:rPr>
          <w:sz w:val="28"/>
          <w:szCs w:val="28"/>
        </w:rPr>
        <w:tab/>
        <w:t>№ 98-П</w:t>
      </w:r>
    </w:p>
    <w:p w:rsidR="004254A5" w:rsidRDefault="004254A5" w:rsidP="002D7ABD">
      <w:pPr>
        <w:pStyle w:val="ab"/>
        <w:tabs>
          <w:tab w:val="left" w:pos="708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4254A5" w:rsidRDefault="004254A5" w:rsidP="002D7ABD">
      <w:pPr>
        <w:pStyle w:val="Default"/>
        <w:rPr>
          <w:b/>
          <w:bCs/>
          <w:sz w:val="16"/>
          <w:szCs w:val="16"/>
        </w:rPr>
      </w:pPr>
    </w:p>
    <w:p w:rsidR="00DC6D98" w:rsidRPr="00647E98" w:rsidRDefault="00DC6D98" w:rsidP="00DC6D98">
      <w:pPr>
        <w:rPr>
          <w:sz w:val="28"/>
          <w:szCs w:val="28"/>
        </w:rPr>
      </w:pPr>
      <w:r w:rsidRPr="00CA0DBF">
        <w:rPr>
          <w:sz w:val="28"/>
          <w:szCs w:val="28"/>
        </w:rPr>
        <w:t xml:space="preserve"> Об </w:t>
      </w:r>
      <w:r w:rsidRPr="00647E98">
        <w:rPr>
          <w:sz w:val="28"/>
          <w:szCs w:val="28"/>
        </w:rPr>
        <w:t xml:space="preserve">утверждении регламента работы </w:t>
      </w:r>
    </w:p>
    <w:p w:rsidR="00DC6D98" w:rsidRPr="00647E98" w:rsidRDefault="00DC6D98" w:rsidP="00DC6D98">
      <w:pPr>
        <w:rPr>
          <w:sz w:val="28"/>
          <w:szCs w:val="28"/>
        </w:rPr>
      </w:pPr>
      <w:r w:rsidRPr="00647E98">
        <w:rPr>
          <w:sz w:val="28"/>
          <w:szCs w:val="28"/>
        </w:rPr>
        <w:t xml:space="preserve"> согласительной комиссии </w:t>
      </w:r>
      <w:proofErr w:type="gramStart"/>
      <w:r w:rsidRPr="00647E98">
        <w:rPr>
          <w:sz w:val="28"/>
          <w:szCs w:val="28"/>
        </w:rPr>
        <w:t>по</w:t>
      </w:r>
      <w:proofErr w:type="gramEnd"/>
      <w:r w:rsidRPr="00647E98">
        <w:rPr>
          <w:sz w:val="28"/>
          <w:szCs w:val="28"/>
        </w:rPr>
        <w:t xml:space="preserve"> </w:t>
      </w:r>
    </w:p>
    <w:p w:rsidR="00DC6D98" w:rsidRPr="00647E98" w:rsidRDefault="00DC6D98" w:rsidP="00DC6D98">
      <w:pPr>
        <w:rPr>
          <w:sz w:val="28"/>
          <w:szCs w:val="28"/>
        </w:rPr>
      </w:pPr>
      <w:r w:rsidRPr="00647E98">
        <w:rPr>
          <w:sz w:val="28"/>
          <w:szCs w:val="28"/>
        </w:rPr>
        <w:t xml:space="preserve"> согласованию местоположения границ </w:t>
      </w:r>
    </w:p>
    <w:p w:rsidR="00DC6D98" w:rsidRPr="00647E98" w:rsidRDefault="00DC6D98" w:rsidP="00DC6D98">
      <w:pPr>
        <w:rPr>
          <w:sz w:val="28"/>
          <w:szCs w:val="28"/>
        </w:rPr>
      </w:pPr>
      <w:r w:rsidRPr="00647E98">
        <w:rPr>
          <w:sz w:val="28"/>
          <w:szCs w:val="28"/>
        </w:rPr>
        <w:t xml:space="preserve"> земельных участков при выполнении</w:t>
      </w:r>
    </w:p>
    <w:p w:rsidR="00DC6D98" w:rsidRPr="00647E98" w:rsidRDefault="00DC6D98" w:rsidP="00DC6D98">
      <w:pPr>
        <w:rPr>
          <w:sz w:val="28"/>
          <w:szCs w:val="28"/>
        </w:rPr>
      </w:pPr>
      <w:r w:rsidRPr="00647E98">
        <w:rPr>
          <w:sz w:val="28"/>
          <w:szCs w:val="28"/>
        </w:rPr>
        <w:t xml:space="preserve"> комплексных кадастровых работ</w:t>
      </w:r>
    </w:p>
    <w:p w:rsidR="004254A5" w:rsidRPr="00647E98" w:rsidRDefault="004254A5" w:rsidP="002D7ABD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DC6D98" w:rsidRPr="00647E98" w:rsidRDefault="00DC6D98" w:rsidP="005E291C">
      <w:pPr>
        <w:ind w:firstLine="720"/>
        <w:jc w:val="both"/>
        <w:rPr>
          <w:sz w:val="28"/>
          <w:szCs w:val="28"/>
        </w:rPr>
      </w:pPr>
      <w:r w:rsidRPr="00647E98">
        <w:rPr>
          <w:sz w:val="28"/>
          <w:szCs w:val="28"/>
        </w:rPr>
        <w:t xml:space="preserve">В целях реализации полномочия, предусмотренного </w:t>
      </w:r>
      <w:hyperlink r:id="rId11" w:history="1">
        <w:r w:rsidRPr="00C45329">
          <w:rPr>
            <w:rStyle w:val="a6"/>
            <w:color w:val="auto"/>
            <w:sz w:val="28"/>
            <w:szCs w:val="28"/>
            <w:u w:val="none"/>
          </w:rPr>
          <w:t>статьей 42.10</w:t>
        </w:r>
      </w:hyperlink>
      <w:r w:rsidRPr="00647E98">
        <w:rPr>
          <w:sz w:val="28"/>
          <w:szCs w:val="28"/>
        </w:rPr>
        <w:t xml:space="preserve"> Федерального закона от 24 июля 2007 года </w:t>
      </w:r>
      <w:r w:rsidR="00647E98" w:rsidRPr="00647E98">
        <w:rPr>
          <w:sz w:val="28"/>
          <w:szCs w:val="28"/>
        </w:rPr>
        <w:t>№</w:t>
      </w:r>
      <w:r w:rsidRPr="00647E98">
        <w:rPr>
          <w:sz w:val="28"/>
          <w:szCs w:val="28"/>
        </w:rPr>
        <w:t xml:space="preserve"> 221-ФЗ «О кадастровой деятельности», руководствуясь Постановлением Администрации Томской области от 04.06.2015 </w:t>
      </w:r>
      <w:r w:rsidR="00647E98" w:rsidRPr="00647E98">
        <w:rPr>
          <w:sz w:val="28"/>
          <w:szCs w:val="28"/>
        </w:rPr>
        <w:t>№</w:t>
      </w:r>
      <w:r w:rsidRPr="00647E98">
        <w:rPr>
          <w:sz w:val="28"/>
          <w:szCs w:val="28"/>
        </w:rPr>
        <w:t xml:space="preserve">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</w:t>
      </w:r>
    </w:p>
    <w:p w:rsidR="00DC6D98" w:rsidRPr="00647E98" w:rsidRDefault="00DC6D98" w:rsidP="00DC6D98">
      <w:pPr>
        <w:jc w:val="both"/>
        <w:rPr>
          <w:sz w:val="28"/>
          <w:szCs w:val="28"/>
        </w:rPr>
      </w:pPr>
    </w:p>
    <w:p w:rsidR="00DC6D98" w:rsidRPr="00647E98" w:rsidRDefault="00DC6D98" w:rsidP="00DC6D98">
      <w:pPr>
        <w:rPr>
          <w:b/>
          <w:sz w:val="28"/>
          <w:szCs w:val="28"/>
        </w:rPr>
      </w:pPr>
      <w:r w:rsidRPr="00647E98">
        <w:rPr>
          <w:b/>
          <w:sz w:val="28"/>
          <w:szCs w:val="28"/>
        </w:rPr>
        <w:t>ПОСТАНОВЛЯЮ:</w:t>
      </w:r>
    </w:p>
    <w:p w:rsidR="00DC6D98" w:rsidRPr="00647E98" w:rsidRDefault="00DC6D98" w:rsidP="00DC6D98">
      <w:pPr>
        <w:rPr>
          <w:b/>
          <w:sz w:val="28"/>
          <w:szCs w:val="28"/>
        </w:rPr>
      </w:pPr>
    </w:p>
    <w:p w:rsidR="00CA0DBF" w:rsidRPr="000F4EAB" w:rsidRDefault="00CA0DBF" w:rsidP="000F4EAB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F4EAB">
        <w:rPr>
          <w:sz w:val="28"/>
          <w:szCs w:val="28"/>
        </w:rPr>
        <w:t>1.</w:t>
      </w:r>
      <w:r w:rsidR="000F4EAB">
        <w:rPr>
          <w:sz w:val="28"/>
          <w:szCs w:val="28"/>
        </w:rPr>
        <w:t xml:space="preserve"> </w:t>
      </w:r>
      <w:r w:rsidR="00DC6D98" w:rsidRPr="000F4EAB">
        <w:rPr>
          <w:sz w:val="28"/>
          <w:szCs w:val="28"/>
        </w:rPr>
        <w:t xml:space="preserve">Утвердить </w:t>
      </w:r>
      <w:hyperlink r:id="rId12" w:anchor="P27" w:history="1">
        <w:r w:rsidR="00DC6D98" w:rsidRPr="00C45329">
          <w:rPr>
            <w:rStyle w:val="a6"/>
            <w:color w:val="auto"/>
            <w:sz w:val="28"/>
            <w:szCs w:val="28"/>
            <w:u w:val="none"/>
          </w:rPr>
          <w:t>регламент</w:t>
        </w:r>
      </w:hyperlink>
      <w:r w:rsidR="00DC6D98" w:rsidRPr="000F4EAB">
        <w:rPr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согласно приложению к настоящему постановлению.</w:t>
      </w:r>
    </w:p>
    <w:p w:rsidR="00B81F9B" w:rsidRPr="00C45329" w:rsidRDefault="00CA0DBF" w:rsidP="000F4EAB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EAB">
        <w:rPr>
          <w:sz w:val="28"/>
          <w:szCs w:val="28"/>
        </w:rPr>
        <w:t>2.</w:t>
      </w:r>
      <w:r w:rsidR="000F4EAB">
        <w:rPr>
          <w:sz w:val="28"/>
          <w:szCs w:val="28"/>
        </w:rPr>
        <w:t xml:space="preserve"> </w:t>
      </w:r>
      <w:r w:rsidR="00B81F9B" w:rsidRPr="00C45329">
        <w:rPr>
          <w:rFonts w:eastAsia="Calibri"/>
          <w:sz w:val="28"/>
          <w:szCs w:val="28"/>
        </w:rPr>
        <w:t xml:space="preserve">Управлению Делами Администрации Томского района разместить на сайте Администрации Томского района www.tradm.ru и опубликовать в газете </w:t>
      </w:r>
      <w:r w:rsidR="00D07FE6">
        <w:rPr>
          <w:rFonts w:eastAsia="Calibri"/>
          <w:sz w:val="28"/>
          <w:szCs w:val="28"/>
        </w:rPr>
        <w:t>«</w:t>
      </w:r>
      <w:r w:rsidR="00B81F9B" w:rsidRPr="00C45329">
        <w:rPr>
          <w:rFonts w:eastAsia="Calibri"/>
          <w:sz w:val="28"/>
          <w:szCs w:val="28"/>
        </w:rPr>
        <w:t>Томское предместье</w:t>
      </w:r>
      <w:r w:rsidR="00D07FE6">
        <w:rPr>
          <w:rFonts w:eastAsia="Calibri"/>
          <w:sz w:val="28"/>
          <w:szCs w:val="28"/>
        </w:rPr>
        <w:t>»</w:t>
      </w:r>
      <w:r w:rsidR="00B81F9B" w:rsidRPr="00C45329">
        <w:rPr>
          <w:rFonts w:eastAsia="Calibri"/>
          <w:sz w:val="28"/>
          <w:szCs w:val="28"/>
        </w:rPr>
        <w:t xml:space="preserve"> настоящее постановление.</w:t>
      </w:r>
    </w:p>
    <w:p w:rsidR="00CA0DBF" w:rsidRPr="000F4EAB" w:rsidRDefault="00CA0DBF" w:rsidP="000F4EAB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F4EAB">
        <w:rPr>
          <w:sz w:val="28"/>
          <w:szCs w:val="28"/>
        </w:rPr>
        <w:t>3.</w:t>
      </w:r>
      <w:r w:rsidR="000F4EAB">
        <w:rPr>
          <w:sz w:val="28"/>
          <w:szCs w:val="28"/>
        </w:rPr>
        <w:t xml:space="preserve"> </w:t>
      </w:r>
      <w:r w:rsidR="00DC6D98" w:rsidRPr="000F4EA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DC6D98" w:rsidRPr="000F4EAB">
        <w:rPr>
          <w:sz w:val="28"/>
          <w:szCs w:val="28"/>
        </w:rPr>
        <w:t>с</w:t>
      </w:r>
      <w:proofErr w:type="gramEnd"/>
      <w:r w:rsidR="00DC6D98" w:rsidRPr="000F4EAB">
        <w:rPr>
          <w:sz w:val="28"/>
          <w:szCs w:val="28"/>
        </w:rPr>
        <w:t xml:space="preserve"> </w:t>
      </w:r>
      <w:r w:rsidR="00D07FE6">
        <w:rPr>
          <w:sz w:val="28"/>
          <w:szCs w:val="28"/>
        </w:rPr>
        <w:t>даты</w:t>
      </w:r>
      <w:r w:rsidR="00DC6D98" w:rsidRPr="000F4EAB">
        <w:rPr>
          <w:sz w:val="28"/>
          <w:szCs w:val="28"/>
        </w:rPr>
        <w:t xml:space="preserve"> его официального опубликования.</w:t>
      </w:r>
    </w:p>
    <w:p w:rsidR="00DC6D98" w:rsidRPr="000F4EAB" w:rsidRDefault="00CA0DBF" w:rsidP="000F4EAB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F4EAB">
        <w:rPr>
          <w:sz w:val="28"/>
          <w:szCs w:val="28"/>
        </w:rPr>
        <w:t>4.</w:t>
      </w:r>
      <w:r w:rsidR="000F4EAB">
        <w:rPr>
          <w:sz w:val="28"/>
          <w:szCs w:val="28"/>
        </w:rPr>
        <w:t xml:space="preserve"> </w:t>
      </w:r>
      <w:proofErr w:type="gramStart"/>
      <w:r w:rsidR="00DC6D98" w:rsidRPr="000F4EAB">
        <w:rPr>
          <w:sz w:val="28"/>
          <w:szCs w:val="28"/>
        </w:rPr>
        <w:t>Контроль за</w:t>
      </w:r>
      <w:proofErr w:type="gramEnd"/>
      <w:r w:rsidR="00DC6D98" w:rsidRPr="000F4E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6D98" w:rsidRPr="00CA0DBF" w:rsidRDefault="00DC6D98" w:rsidP="00CA0DBF">
      <w:pPr>
        <w:jc w:val="both"/>
        <w:rPr>
          <w:sz w:val="28"/>
          <w:szCs w:val="28"/>
        </w:rPr>
      </w:pPr>
    </w:p>
    <w:p w:rsidR="00DC6D98" w:rsidRDefault="00DC6D98" w:rsidP="00DC6D98">
      <w:pPr>
        <w:jc w:val="both"/>
        <w:rPr>
          <w:sz w:val="28"/>
          <w:szCs w:val="28"/>
        </w:rPr>
      </w:pPr>
    </w:p>
    <w:p w:rsidR="000F4EAB" w:rsidRPr="00CA0DBF" w:rsidRDefault="000F4EAB" w:rsidP="00DC6D98">
      <w:pPr>
        <w:jc w:val="both"/>
        <w:rPr>
          <w:sz w:val="28"/>
          <w:szCs w:val="28"/>
        </w:rPr>
      </w:pPr>
    </w:p>
    <w:p w:rsidR="004254A5" w:rsidRPr="00CA0DBF" w:rsidRDefault="005E291C" w:rsidP="00994D88">
      <w:pPr>
        <w:tabs>
          <w:tab w:val="left" w:pos="8505"/>
        </w:tabs>
        <w:adjustRightInd w:val="0"/>
        <w:rPr>
          <w:sz w:val="28"/>
          <w:szCs w:val="28"/>
        </w:rPr>
      </w:pPr>
      <w:r w:rsidRPr="00CA0DBF">
        <w:rPr>
          <w:sz w:val="28"/>
          <w:szCs w:val="28"/>
        </w:rPr>
        <w:t>Глава</w:t>
      </w:r>
      <w:r w:rsidR="007E1E63" w:rsidRPr="00CA0DBF">
        <w:rPr>
          <w:sz w:val="28"/>
          <w:szCs w:val="28"/>
        </w:rPr>
        <w:t xml:space="preserve"> Томского района</w:t>
      </w:r>
      <w:r w:rsidR="00994D88">
        <w:rPr>
          <w:sz w:val="28"/>
          <w:szCs w:val="28"/>
        </w:rPr>
        <w:tab/>
      </w:r>
      <w:r w:rsidR="000F4EAB">
        <w:rPr>
          <w:sz w:val="28"/>
          <w:szCs w:val="28"/>
        </w:rPr>
        <w:t>П.П.</w:t>
      </w:r>
      <w:r w:rsidRPr="00CA0DBF">
        <w:rPr>
          <w:sz w:val="28"/>
          <w:szCs w:val="28"/>
        </w:rPr>
        <w:t>Хрячков</w:t>
      </w:r>
    </w:p>
    <w:p w:rsidR="00DC6D98" w:rsidRDefault="00DC6D98" w:rsidP="002D7ABD">
      <w:pPr>
        <w:pStyle w:val="aa"/>
        <w:rPr>
          <w:rFonts w:ascii="Times New Roman" w:hAnsi="Times New Roman"/>
          <w:sz w:val="20"/>
          <w:szCs w:val="20"/>
        </w:rPr>
      </w:pPr>
    </w:p>
    <w:p w:rsidR="00994D88" w:rsidRDefault="00994D88" w:rsidP="002D7ABD">
      <w:pPr>
        <w:pStyle w:val="aa"/>
        <w:rPr>
          <w:rFonts w:ascii="Times New Roman" w:hAnsi="Times New Roman"/>
          <w:sz w:val="20"/>
          <w:szCs w:val="20"/>
        </w:rPr>
      </w:pPr>
    </w:p>
    <w:p w:rsidR="004254A5" w:rsidRPr="00DC6D98" w:rsidRDefault="004254A5" w:rsidP="00DC6D98">
      <w:pPr>
        <w:pStyle w:val="aa"/>
        <w:rPr>
          <w:rFonts w:ascii="Times New Roman" w:hAnsi="Times New Roman"/>
          <w:sz w:val="20"/>
          <w:szCs w:val="20"/>
        </w:rPr>
        <w:sectPr w:rsidR="004254A5" w:rsidRPr="00DC6D98" w:rsidSect="00616DFA">
          <w:headerReference w:type="default" r:id="rId13"/>
          <w:pgSz w:w="11906" w:h="16838"/>
          <w:pgMar w:top="1134" w:right="567" w:bottom="1134" w:left="1134" w:header="113" w:footer="113" w:gutter="0"/>
          <w:cols w:space="720"/>
          <w:titlePg/>
          <w:docGrid w:linePitch="299"/>
        </w:sectPr>
      </w:pPr>
    </w:p>
    <w:p w:rsidR="004254A5" w:rsidRDefault="004254A5" w:rsidP="002D7A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54A5" w:rsidRDefault="004254A5" w:rsidP="002D7A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54A5" w:rsidRDefault="004254A5" w:rsidP="002D7A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4254A5" w:rsidRPr="00994D88" w:rsidRDefault="004254A5" w:rsidP="00994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88">
        <w:rPr>
          <w:rFonts w:ascii="Times New Roman" w:hAnsi="Times New Roman" w:cs="Times New Roman"/>
          <w:sz w:val="24"/>
          <w:szCs w:val="24"/>
        </w:rPr>
        <w:t xml:space="preserve">от </w:t>
      </w:r>
      <w:r w:rsidR="00994D88" w:rsidRPr="00994D88">
        <w:rPr>
          <w:rFonts w:ascii="Times New Roman" w:hAnsi="Times New Roman" w:cs="Times New Roman"/>
          <w:sz w:val="24"/>
          <w:szCs w:val="24"/>
        </w:rPr>
        <w:t>25.02.2025</w:t>
      </w:r>
      <w:r w:rsidR="005300DC" w:rsidRPr="00994D88">
        <w:rPr>
          <w:rFonts w:ascii="Times New Roman" w:hAnsi="Times New Roman" w:cs="Times New Roman"/>
          <w:sz w:val="24"/>
          <w:szCs w:val="24"/>
        </w:rPr>
        <w:t xml:space="preserve"> № </w:t>
      </w:r>
      <w:r w:rsidR="00994D88" w:rsidRPr="00994D88">
        <w:rPr>
          <w:rFonts w:ascii="Times New Roman" w:hAnsi="Times New Roman" w:cs="Times New Roman"/>
          <w:sz w:val="24"/>
          <w:szCs w:val="24"/>
        </w:rPr>
        <w:t>98-П</w:t>
      </w:r>
    </w:p>
    <w:p w:rsidR="00B16639" w:rsidRDefault="00B16639" w:rsidP="00DC6D98">
      <w:pPr>
        <w:pStyle w:val="1"/>
        <w:ind w:left="0"/>
      </w:pPr>
    </w:p>
    <w:p w:rsidR="00DC6D98" w:rsidRPr="00DC6D98" w:rsidRDefault="00DC6D98" w:rsidP="00D07FE6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DC6D98">
        <w:rPr>
          <w:b/>
          <w:sz w:val="28"/>
          <w:szCs w:val="28"/>
        </w:rPr>
        <w:t>Регламент</w:t>
      </w:r>
    </w:p>
    <w:p w:rsidR="00DC6D98" w:rsidRPr="00DC6D98" w:rsidRDefault="00DC6D98" w:rsidP="00D07FE6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DC6D98">
        <w:rPr>
          <w:b/>
          <w:sz w:val="28"/>
          <w:szCs w:val="28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DC6D98" w:rsidRPr="00DC6D98" w:rsidRDefault="00DC6D98" w:rsidP="00D07FE6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5A6453" w:rsidRPr="00C45329" w:rsidRDefault="005A6453" w:rsidP="00D07FE6">
      <w:pPr>
        <w:widowControl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A6453" w:rsidRPr="00C45329" w:rsidRDefault="009A5E30" w:rsidP="00D07FE6">
      <w:pPr>
        <w:widowControl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C45329">
        <w:rPr>
          <w:rFonts w:eastAsia="Calibri"/>
          <w:b/>
          <w:bCs/>
          <w:sz w:val="28"/>
          <w:szCs w:val="28"/>
        </w:rPr>
        <w:t>1. Общие положения</w:t>
      </w:r>
    </w:p>
    <w:p w:rsidR="005A6453" w:rsidRPr="00C45329" w:rsidRDefault="005A6453" w:rsidP="00D07FE6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разработан в соответствии с Федеральным </w:t>
      </w:r>
      <w:hyperlink r:id="rId14" w:history="1">
        <w:r w:rsidRPr="00C45329">
          <w:rPr>
            <w:rFonts w:eastAsia="Calibri"/>
            <w:sz w:val="28"/>
            <w:szCs w:val="28"/>
          </w:rPr>
          <w:t>законом</w:t>
        </w:r>
      </w:hyperlink>
      <w:r w:rsidRPr="00C45329">
        <w:rPr>
          <w:rFonts w:eastAsia="Calibri"/>
          <w:sz w:val="28"/>
          <w:szCs w:val="28"/>
        </w:rPr>
        <w:t xml:space="preserve"> от 24 июля 2007 года N 221-ФЗ "О кадастровой деятельности" и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9A5E30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</w:t>
      </w:r>
      <w:r w:rsidR="009A5E30" w:rsidRPr="00C45329">
        <w:rPr>
          <w:rFonts w:eastAsia="Calibri"/>
          <w:sz w:val="28"/>
          <w:szCs w:val="28"/>
        </w:rPr>
        <w:t>комплексные кадастровые работы.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3. Согласительная комиссия в своей деятельности руководствуется </w:t>
      </w:r>
      <w:hyperlink r:id="rId15" w:history="1">
        <w:r w:rsidRPr="00C45329">
          <w:rPr>
            <w:rFonts w:eastAsia="Calibri"/>
            <w:sz w:val="28"/>
            <w:szCs w:val="28"/>
          </w:rPr>
          <w:t>Конституцией</w:t>
        </w:r>
      </w:hyperlink>
      <w:r w:rsidRPr="00C45329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6" w:history="1">
        <w:r w:rsidRPr="00C45329">
          <w:rPr>
            <w:rFonts w:eastAsia="Calibri"/>
            <w:sz w:val="28"/>
            <w:szCs w:val="28"/>
          </w:rPr>
          <w:t>законом</w:t>
        </w:r>
      </w:hyperlink>
      <w:r w:rsidRPr="00C45329">
        <w:rPr>
          <w:rFonts w:eastAsia="Calibri"/>
          <w:sz w:val="28"/>
          <w:szCs w:val="28"/>
        </w:rPr>
        <w:t xml:space="preserve"> от 24 июля 2007 года N 221-ФЗ "О кадастровой деятельности", иными федера</w:t>
      </w:r>
      <w:bookmarkStart w:id="0" w:name="_GoBack"/>
      <w:bookmarkEnd w:id="0"/>
      <w:r w:rsidRPr="00C45329">
        <w:rPr>
          <w:rFonts w:eastAsia="Calibri"/>
          <w:sz w:val="28"/>
          <w:szCs w:val="28"/>
        </w:rPr>
        <w:t>льными законами, нормативными правовыми актами Российской Федерации и Томской области, в том числе</w:t>
      </w:r>
      <w:r w:rsidR="009A5E30" w:rsidRPr="00C45329">
        <w:rPr>
          <w:rFonts w:eastAsia="Calibri"/>
          <w:sz w:val="28"/>
          <w:szCs w:val="28"/>
        </w:rPr>
        <w:t xml:space="preserve"> настоящим</w:t>
      </w:r>
      <w:r w:rsidRPr="00C45329">
        <w:rPr>
          <w:rFonts w:eastAsia="Calibri"/>
          <w:sz w:val="28"/>
          <w:szCs w:val="28"/>
        </w:rPr>
        <w:t xml:space="preserve"> регламентом.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</w:t>
      </w:r>
      <w:hyperlink r:id="rId17" w:history="1">
        <w:r w:rsidRPr="00C45329">
          <w:rPr>
            <w:rFonts w:eastAsia="Calibri"/>
            <w:sz w:val="28"/>
            <w:szCs w:val="28"/>
          </w:rPr>
          <w:t>законом</w:t>
        </w:r>
      </w:hyperlink>
      <w:r w:rsidRPr="00C45329">
        <w:rPr>
          <w:rFonts w:eastAsia="Calibri"/>
          <w:sz w:val="28"/>
          <w:szCs w:val="28"/>
        </w:rPr>
        <w:t xml:space="preserve"> от 24 июля 2007 года N 221-ФЗ "О кадастровой деятельности".</w:t>
      </w:r>
    </w:p>
    <w:p w:rsidR="005A6453" w:rsidRPr="00C45329" w:rsidRDefault="005A6453" w:rsidP="00D07FE6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A6453" w:rsidRPr="00C45329" w:rsidRDefault="005A6453" w:rsidP="00D07FE6">
      <w:pPr>
        <w:widowControl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C45329">
        <w:rPr>
          <w:rFonts w:eastAsia="Calibri"/>
          <w:b/>
          <w:bCs/>
          <w:sz w:val="28"/>
          <w:szCs w:val="28"/>
        </w:rPr>
        <w:t>2. П</w:t>
      </w:r>
      <w:r w:rsidR="009A5E30" w:rsidRPr="00C45329">
        <w:rPr>
          <w:rFonts w:eastAsia="Calibri"/>
          <w:b/>
          <w:bCs/>
          <w:sz w:val="28"/>
          <w:szCs w:val="28"/>
        </w:rPr>
        <w:t>орядок работы согласительной комиссии и оформление ее решений</w:t>
      </w:r>
    </w:p>
    <w:p w:rsidR="005A6453" w:rsidRPr="00C45329" w:rsidRDefault="005A6453" w:rsidP="00D07FE6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5. Председатель согласительной комиссии: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1) возглавляет согласительную комиссию и руководит ее деятельностью;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2) планирует деятельность согласительной комиссии, утверждает повестку дня заседания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3) председательствует на заседаниях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4) организует рассмотрение </w:t>
      </w:r>
      <w:proofErr w:type="gramStart"/>
      <w:r w:rsidRPr="00C45329">
        <w:rPr>
          <w:rFonts w:eastAsia="Calibri"/>
          <w:sz w:val="28"/>
          <w:szCs w:val="28"/>
        </w:rPr>
        <w:t>вопросов повестки дня заседания согласительной комиссии</w:t>
      </w:r>
      <w:proofErr w:type="gramEnd"/>
      <w:r w:rsidRPr="00C45329">
        <w:rPr>
          <w:rFonts w:eastAsia="Calibri"/>
          <w:sz w:val="28"/>
          <w:szCs w:val="28"/>
        </w:rPr>
        <w:t>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lastRenderedPageBreak/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7) назначает секретаря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8</w:t>
      </w:r>
      <w:r w:rsidR="000A09F2" w:rsidRPr="00C45329">
        <w:rPr>
          <w:rFonts w:eastAsia="Calibri"/>
          <w:sz w:val="28"/>
          <w:szCs w:val="28"/>
        </w:rPr>
        <w:t>) осуществляет иные полномочия.</w:t>
      </w:r>
    </w:p>
    <w:p w:rsidR="005A6453" w:rsidRPr="00C45329" w:rsidRDefault="000A09F2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6</w:t>
      </w:r>
      <w:r w:rsidR="005A6453" w:rsidRPr="00C45329">
        <w:rPr>
          <w:rFonts w:eastAsia="Calibri"/>
          <w:sz w:val="28"/>
          <w:szCs w:val="28"/>
        </w:rPr>
        <w:t xml:space="preserve">. </w:t>
      </w:r>
      <w:r w:rsidR="005E291C" w:rsidRPr="00C45329">
        <w:rPr>
          <w:rFonts w:eastAsia="Calibri"/>
          <w:sz w:val="28"/>
          <w:szCs w:val="28"/>
        </w:rPr>
        <w:t>Председателем согласительной комиссии является глава поселения</w:t>
      </w:r>
      <w:r w:rsidRPr="00C45329">
        <w:rPr>
          <w:rFonts w:eastAsia="Calibri"/>
          <w:sz w:val="28"/>
          <w:szCs w:val="28"/>
        </w:rPr>
        <w:t>, н</w:t>
      </w:r>
      <w:r w:rsidR="005E291C" w:rsidRPr="00C45329">
        <w:rPr>
          <w:rFonts w:eastAsia="Calibri"/>
          <w:sz w:val="28"/>
          <w:szCs w:val="28"/>
        </w:rPr>
        <w:t>а территории которого</w:t>
      </w:r>
      <w:r w:rsidRPr="00C45329">
        <w:rPr>
          <w:rFonts w:eastAsia="Calibri"/>
          <w:sz w:val="28"/>
          <w:szCs w:val="28"/>
        </w:rPr>
        <w:t xml:space="preserve"> выполняются</w:t>
      </w:r>
      <w:r w:rsidR="00DD3DBA" w:rsidRPr="00C45329">
        <w:rPr>
          <w:rFonts w:eastAsia="Calibri"/>
          <w:sz w:val="28"/>
          <w:szCs w:val="28"/>
        </w:rPr>
        <w:t xml:space="preserve"> комплексные кадастровые работы. </w:t>
      </w:r>
      <w:r w:rsidRPr="00C45329">
        <w:rPr>
          <w:rFonts w:eastAsia="Calibri"/>
          <w:sz w:val="28"/>
          <w:szCs w:val="28"/>
        </w:rPr>
        <w:t xml:space="preserve"> </w:t>
      </w:r>
      <w:r w:rsidR="005A6453" w:rsidRPr="00C45329">
        <w:rPr>
          <w:rFonts w:eastAsia="Calibri"/>
          <w:sz w:val="28"/>
          <w:szCs w:val="28"/>
        </w:rPr>
        <w:t>Председатель согласительной комиссии</w:t>
      </w:r>
      <w:r w:rsidR="00DD3DBA" w:rsidRPr="00C45329">
        <w:rPr>
          <w:rFonts w:eastAsia="Calibri"/>
          <w:sz w:val="28"/>
          <w:szCs w:val="28"/>
        </w:rPr>
        <w:t xml:space="preserve"> </w:t>
      </w:r>
      <w:r w:rsidR="005A6453" w:rsidRPr="00C45329">
        <w:rPr>
          <w:rFonts w:eastAsia="Calibri"/>
          <w:sz w:val="28"/>
          <w:szCs w:val="28"/>
        </w:rPr>
        <w:t>назначает секре</w:t>
      </w:r>
      <w:r w:rsidRPr="00C45329">
        <w:rPr>
          <w:rFonts w:eastAsia="Calibri"/>
          <w:sz w:val="28"/>
          <w:szCs w:val="28"/>
        </w:rPr>
        <w:t>таря из числа сотрудников органов</w:t>
      </w:r>
      <w:r w:rsidR="005A6453" w:rsidRPr="00C45329">
        <w:rPr>
          <w:rFonts w:eastAsia="Calibri"/>
          <w:sz w:val="28"/>
          <w:szCs w:val="28"/>
        </w:rPr>
        <w:t xml:space="preserve"> местного самоу</w:t>
      </w:r>
      <w:r w:rsidRPr="00C45329">
        <w:rPr>
          <w:rFonts w:eastAsia="Calibri"/>
          <w:sz w:val="28"/>
          <w:szCs w:val="28"/>
        </w:rPr>
        <w:t>правления поселени</w:t>
      </w:r>
      <w:r w:rsidR="00DD3DBA" w:rsidRPr="00C45329">
        <w:rPr>
          <w:rFonts w:eastAsia="Calibri"/>
          <w:sz w:val="28"/>
          <w:szCs w:val="28"/>
        </w:rPr>
        <w:t>я, на территории которого</w:t>
      </w:r>
      <w:r w:rsidR="005A6453" w:rsidRPr="00C45329">
        <w:rPr>
          <w:rFonts w:eastAsia="Calibri"/>
          <w:sz w:val="28"/>
          <w:szCs w:val="28"/>
        </w:rPr>
        <w:t xml:space="preserve"> выполняются комплексные ка</w:t>
      </w:r>
      <w:r w:rsidRPr="00C45329">
        <w:rPr>
          <w:rFonts w:eastAsia="Calibri"/>
          <w:sz w:val="28"/>
          <w:szCs w:val="28"/>
        </w:rPr>
        <w:t xml:space="preserve">дастровые работы. </w:t>
      </w:r>
      <w:r w:rsidR="005A6453" w:rsidRPr="00C45329">
        <w:rPr>
          <w:rFonts w:eastAsia="Calibri"/>
          <w:sz w:val="28"/>
          <w:szCs w:val="28"/>
        </w:rPr>
        <w:t>Секретарь согласительной комиссии не входит в состав согласительной комиссии и осуществляет следующие полномочия: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1) организацию и техническое обслуживание деятельности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2) ведение делопроизводства согласительной комиссии, учет и обеспечение хранения документов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3) подготовку заседания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4) уведомление членов согласительной комиссии и приглашенных заинтересованных лиц о времени и месте проведения заседания;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5) подготовку документов и материалов для рассмотрения на заседании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6)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7)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8. Члены согласительной комиссии: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1) участвуют в подготовке заседаний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4) 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5) осуществляют иные полномочия.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lastRenderedPageBreak/>
        <w:t>Члены согласительной комиссии обладают равными правами.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9.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извещения о проведении заседания согласительной комиссии, </w:t>
      </w:r>
      <w:proofErr w:type="gramStart"/>
      <w:r w:rsidRPr="00C45329">
        <w:rPr>
          <w:rFonts w:eastAsia="Calibri"/>
          <w:sz w:val="28"/>
          <w:szCs w:val="28"/>
        </w:rPr>
        <w:t>содержащего</w:t>
      </w:r>
      <w:proofErr w:type="gramEnd"/>
      <w:r w:rsidRPr="00C45329">
        <w:rPr>
          <w:rFonts w:eastAsia="Calibri"/>
          <w:sz w:val="28"/>
          <w:szCs w:val="28"/>
        </w:rPr>
        <w:t xml:space="preserve"> в том числе уведомление о завершении подготовки проекта карты-плана территории выполнения комплексных кадастровых работ.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10.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11. Заседание согласительной комиссии открывает председатель согласительной комиссии.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12.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13. 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14.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16.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1) о нецелесообразности </w:t>
      </w:r>
      <w:proofErr w:type="gramStart"/>
      <w:r w:rsidRPr="00C45329">
        <w:rPr>
          <w:rFonts w:eastAsia="Calibri"/>
          <w:sz w:val="28"/>
          <w:szCs w:val="28"/>
        </w:rPr>
        <w:t>изменения проекта карты-плана территории выполнения комплексных кадастровых работ</w:t>
      </w:r>
      <w:proofErr w:type="gramEnd"/>
      <w:r w:rsidRPr="00C45329">
        <w:rPr>
          <w:rFonts w:eastAsia="Calibri"/>
          <w:sz w:val="28"/>
          <w:szCs w:val="28"/>
        </w:rPr>
        <w:t xml:space="preserve"> в случае необоснованности возражений заинтересованных лиц;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17.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18. При равном количестве голосов председатель согласительной комиссии обладает правом решающего голоса.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19. В случае принятия членами согласительной комиссии путем открытого голосования решения о нецелесообразности </w:t>
      </w:r>
      <w:proofErr w:type="gramStart"/>
      <w:r w:rsidRPr="00C45329">
        <w:rPr>
          <w:rFonts w:eastAsia="Calibri"/>
          <w:sz w:val="28"/>
          <w:szCs w:val="28"/>
        </w:rPr>
        <w:t>изменения проекта карты-плана территории выполнения комплексных кадастровых работ</w:t>
      </w:r>
      <w:proofErr w:type="gramEnd"/>
      <w:r w:rsidRPr="00C45329">
        <w:rPr>
          <w:rFonts w:eastAsia="Calibri"/>
          <w:sz w:val="28"/>
          <w:szCs w:val="28"/>
        </w:rPr>
        <w:t xml:space="preserve">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20. </w:t>
      </w:r>
      <w:proofErr w:type="gramStart"/>
      <w:r w:rsidRPr="00C45329">
        <w:rPr>
          <w:rFonts w:eastAsia="Calibri"/>
          <w:sz w:val="28"/>
          <w:szCs w:val="28"/>
        </w:rPr>
        <w:t xml:space="preserve"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</w:t>
      </w:r>
      <w:r w:rsidRPr="00C45329">
        <w:rPr>
          <w:rFonts w:eastAsia="Calibri"/>
          <w:sz w:val="28"/>
          <w:szCs w:val="28"/>
        </w:rPr>
        <w:lastRenderedPageBreak/>
        <w:t xml:space="preserve">земельных участков, предусмотренные </w:t>
      </w:r>
      <w:hyperlink r:id="rId18" w:history="1">
        <w:r w:rsidRPr="00C45329">
          <w:rPr>
            <w:rFonts w:eastAsia="Calibri"/>
            <w:sz w:val="28"/>
            <w:szCs w:val="28"/>
          </w:rPr>
          <w:t>пунктом 18 статьи 42.10</w:t>
        </w:r>
      </w:hyperlink>
      <w:r w:rsidRPr="00C45329">
        <w:rPr>
          <w:rFonts w:eastAsia="Calibri"/>
          <w:sz w:val="28"/>
          <w:szCs w:val="28"/>
        </w:rPr>
        <w:t xml:space="preserve"> Федерального закона от 24 июля 2007 года N 221-ФЗ "О кадастровой деятельности", а также акт согласования местоположения границ земельных участков при выполнении комплексных кадастровых работ.</w:t>
      </w:r>
      <w:proofErr w:type="gramEnd"/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21.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5A6453" w:rsidRPr="00C45329" w:rsidRDefault="005A6453" w:rsidP="00D07FE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 xml:space="preserve">22. </w:t>
      </w:r>
      <w:proofErr w:type="gramStart"/>
      <w:r w:rsidRPr="00C45329">
        <w:rPr>
          <w:rFonts w:eastAsia="Calibri"/>
          <w:sz w:val="28"/>
          <w:szCs w:val="28"/>
        </w:rPr>
        <w:t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</w:t>
      </w:r>
      <w:proofErr w:type="gramEnd"/>
      <w:r w:rsidRPr="00C45329">
        <w:rPr>
          <w:rFonts w:eastAsia="Calibri"/>
          <w:sz w:val="28"/>
          <w:szCs w:val="28"/>
        </w:rPr>
        <w:t xml:space="preserve"> </w:t>
      </w:r>
      <w:proofErr w:type="gramStart"/>
      <w:r w:rsidRPr="00C45329">
        <w:rPr>
          <w:rFonts w:eastAsia="Calibri"/>
          <w:sz w:val="28"/>
          <w:szCs w:val="28"/>
        </w:rPr>
        <w:t>порядке</w:t>
      </w:r>
      <w:proofErr w:type="gramEnd"/>
      <w:r w:rsidRPr="00C45329">
        <w:rPr>
          <w:rFonts w:eastAsia="Calibri"/>
          <w:sz w:val="28"/>
          <w:szCs w:val="28"/>
        </w:rPr>
        <w:t xml:space="preserve"> заказным письмом с уведомлением.</w:t>
      </w:r>
    </w:p>
    <w:p w:rsidR="005A6453" w:rsidRPr="00C45329" w:rsidRDefault="005A6453" w:rsidP="00994D88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5329">
        <w:rPr>
          <w:rFonts w:eastAsia="Calibri"/>
          <w:sz w:val="28"/>
          <w:szCs w:val="28"/>
        </w:rPr>
        <w:t>23. Если в течение 35 календарных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sectPr w:rsidR="005A6453" w:rsidRPr="00C45329" w:rsidSect="001A2F5A">
      <w:headerReference w:type="default" r:id="rId19"/>
      <w:pgSz w:w="11910" w:h="16840"/>
      <w:pgMar w:top="1134" w:right="567" w:bottom="1134" w:left="1134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51" w:rsidRDefault="00301051">
      <w:r>
        <w:separator/>
      </w:r>
    </w:p>
  </w:endnote>
  <w:endnote w:type="continuationSeparator" w:id="0">
    <w:p w:rsidR="00301051" w:rsidRDefault="0030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51" w:rsidRDefault="00301051">
      <w:r>
        <w:separator/>
      </w:r>
    </w:p>
  </w:footnote>
  <w:footnote w:type="continuationSeparator" w:id="0">
    <w:p w:rsidR="00301051" w:rsidRDefault="0030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7B" w:rsidRDefault="00C55E7B">
    <w:pPr>
      <w:pStyle w:val="ad"/>
      <w:jc w:val="center"/>
    </w:pPr>
  </w:p>
  <w:p w:rsidR="00C55E7B" w:rsidRDefault="00C55E7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6D9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BD" w:rsidRDefault="007A0CB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94D88">
      <w:rPr>
        <w:noProof/>
      </w:rPr>
      <w:t>2</w:t>
    </w:r>
    <w:r>
      <w:fldChar w:fldCharType="end"/>
    </w:r>
  </w:p>
  <w:p w:rsidR="00C55E7B" w:rsidRDefault="00C55E7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2B"/>
    <w:multiLevelType w:val="multilevel"/>
    <w:tmpl w:val="57BE6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E0543"/>
    <w:multiLevelType w:val="multilevel"/>
    <w:tmpl w:val="226E2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4653D"/>
    <w:multiLevelType w:val="multilevel"/>
    <w:tmpl w:val="3BCC78C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1C8"/>
    <w:multiLevelType w:val="multilevel"/>
    <w:tmpl w:val="C11853AE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97872"/>
    <w:multiLevelType w:val="multilevel"/>
    <w:tmpl w:val="F7564D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90AB7"/>
    <w:multiLevelType w:val="multilevel"/>
    <w:tmpl w:val="642411A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9D7339"/>
    <w:multiLevelType w:val="multilevel"/>
    <w:tmpl w:val="524C8F4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F6076"/>
    <w:multiLevelType w:val="multilevel"/>
    <w:tmpl w:val="9FC86DB4"/>
    <w:lvl w:ilvl="0">
      <w:start w:val="1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3653D"/>
    <w:multiLevelType w:val="multilevel"/>
    <w:tmpl w:val="40DA77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CE778D"/>
    <w:multiLevelType w:val="multilevel"/>
    <w:tmpl w:val="4858DDD0"/>
    <w:lvl w:ilvl="0">
      <w:start w:val="16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0DA779BE"/>
    <w:multiLevelType w:val="multilevel"/>
    <w:tmpl w:val="AFEC7FC8"/>
    <w:lvl w:ilvl="0">
      <w:start w:val="2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DBB6ACB"/>
    <w:multiLevelType w:val="multilevel"/>
    <w:tmpl w:val="C8448014"/>
    <w:lvl w:ilvl="0">
      <w:start w:val="1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E3116C9"/>
    <w:multiLevelType w:val="multilevel"/>
    <w:tmpl w:val="C3B811A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4B650D"/>
    <w:multiLevelType w:val="multilevel"/>
    <w:tmpl w:val="C302C826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794FD7"/>
    <w:multiLevelType w:val="multilevel"/>
    <w:tmpl w:val="3CE46F7C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0997CB3"/>
    <w:multiLevelType w:val="multilevel"/>
    <w:tmpl w:val="3F0ABA6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6">
    <w:nsid w:val="111A3561"/>
    <w:multiLevelType w:val="multilevel"/>
    <w:tmpl w:val="2F5C6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C2B26"/>
    <w:multiLevelType w:val="multilevel"/>
    <w:tmpl w:val="F72A941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4316233"/>
    <w:multiLevelType w:val="multilevel"/>
    <w:tmpl w:val="04906424"/>
    <w:lvl w:ilvl="0">
      <w:start w:val="2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61429C6"/>
    <w:multiLevelType w:val="multilevel"/>
    <w:tmpl w:val="8202F860"/>
    <w:lvl w:ilvl="0">
      <w:start w:val="20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16B978C2"/>
    <w:multiLevelType w:val="multilevel"/>
    <w:tmpl w:val="4086B6F8"/>
    <w:lvl w:ilvl="0">
      <w:start w:val="2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8744B20"/>
    <w:multiLevelType w:val="multilevel"/>
    <w:tmpl w:val="B356681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7D3237"/>
    <w:multiLevelType w:val="multilevel"/>
    <w:tmpl w:val="E640E9DE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A491E28"/>
    <w:multiLevelType w:val="multilevel"/>
    <w:tmpl w:val="2024576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6C4BCD"/>
    <w:multiLevelType w:val="multilevel"/>
    <w:tmpl w:val="81CE3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290D96"/>
    <w:multiLevelType w:val="multilevel"/>
    <w:tmpl w:val="D492A1A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FB0653C"/>
    <w:multiLevelType w:val="multilevel"/>
    <w:tmpl w:val="018CD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0E6151"/>
    <w:multiLevelType w:val="multilevel"/>
    <w:tmpl w:val="BA90C994"/>
    <w:lvl w:ilvl="0">
      <w:start w:val="15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21131568"/>
    <w:multiLevelType w:val="multilevel"/>
    <w:tmpl w:val="EF4AB38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D170ED"/>
    <w:multiLevelType w:val="multilevel"/>
    <w:tmpl w:val="2982C764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5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0">
    <w:nsid w:val="22E60466"/>
    <w:multiLevelType w:val="multilevel"/>
    <w:tmpl w:val="C956811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2">
    <w:nsid w:val="25F57296"/>
    <w:multiLevelType w:val="hybridMultilevel"/>
    <w:tmpl w:val="D3503020"/>
    <w:lvl w:ilvl="0" w:tplc="ACCCB60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3">
    <w:nsid w:val="271213B8"/>
    <w:multiLevelType w:val="multilevel"/>
    <w:tmpl w:val="4B5C90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3C39AF"/>
    <w:multiLevelType w:val="multilevel"/>
    <w:tmpl w:val="6F3E103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A0542C0"/>
    <w:multiLevelType w:val="multilevel"/>
    <w:tmpl w:val="1416E58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552D73"/>
    <w:multiLevelType w:val="multilevel"/>
    <w:tmpl w:val="5422FB0C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B550B95"/>
    <w:multiLevelType w:val="multilevel"/>
    <w:tmpl w:val="27A06B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CC5363"/>
    <w:multiLevelType w:val="multilevel"/>
    <w:tmpl w:val="AAE229D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AF4528"/>
    <w:multiLevelType w:val="multilevel"/>
    <w:tmpl w:val="2D429530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2EDB557D"/>
    <w:multiLevelType w:val="multilevel"/>
    <w:tmpl w:val="6672B65E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308E6170"/>
    <w:multiLevelType w:val="multilevel"/>
    <w:tmpl w:val="234C9FA6"/>
    <w:lvl w:ilvl="0">
      <w:start w:val="16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3131684D"/>
    <w:multiLevelType w:val="multilevel"/>
    <w:tmpl w:val="1E3C5E68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27F015C"/>
    <w:multiLevelType w:val="multilevel"/>
    <w:tmpl w:val="87928A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AB0992"/>
    <w:multiLevelType w:val="multilevel"/>
    <w:tmpl w:val="973440E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C31234"/>
    <w:multiLevelType w:val="multilevel"/>
    <w:tmpl w:val="7FE265D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36DC5387"/>
    <w:multiLevelType w:val="multilevel"/>
    <w:tmpl w:val="89168F3A"/>
    <w:lvl w:ilvl="0">
      <w:start w:val="2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C3E511E"/>
    <w:multiLevelType w:val="multilevel"/>
    <w:tmpl w:val="8744E2BE"/>
    <w:lvl w:ilvl="0">
      <w:start w:val="2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9">
    <w:nsid w:val="3D0530BE"/>
    <w:multiLevelType w:val="hybridMultilevel"/>
    <w:tmpl w:val="F496E55E"/>
    <w:lvl w:ilvl="0" w:tplc="C25A94F4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>
    <w:nsid w:val="3D7E5B0A"/>
    <w:multiLevelType w:val="multilevel"/>
    <w:tmpl w:val="A5B6C58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8604A2"/>
    <w:multiLevelType w:val="hybridMultilevel"/>
    <w:tmpl w:val="895044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234A3"/>
    <w:multiLevelType w:val="multilevel"/>
    <w:tmpl w:val="0BD0648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187116"/>
    <w:multiLevelType w:val="hybridMultilevel"/>
    <w:tmpl w:val="020E3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9C4168"/>
    <w:multiLevelType w:val="multilevel"/>
    <w:tmpl w:val="0352D3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2255FD"/>
    <w:multiLevelType w:val="multilevel"/>
    <w:tmpl w:val="42CE46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43211032"/>
    <w:multiLevelType w:val="multilevel"/>
    <w:tmpl w:val="88E40C94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440D5C13"/>
    <w:multiLevelType w:val="multilevel"/>
    <w:tmpl w:val="3AA640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5874ED"/>
    <w:multiLevelType w:val="multilevel"/>
    <w:tmpl w:val="E93427C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B876BD"/>
    <w:multiLevelType w:val="multilevel"/>
    <w:tmpl w:val="6FA2296E"/>
    <w:lvl w:ilvl="0">
      <w:start w:val="2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474F6012"/>
    <w:multiLevelType w:val="multilevel"/>
    <w:tmpl w:val="A1BC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7555525"/>
    <w:multiLevelType w:val="multilevel"/>
    <w:tmpl w:val="27CC320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5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2">
    <w:nsid w:val="47AE1196"/>
    <w:multiLevelType w:val="multilevel"/>
    <w:tmpl w:val="B94C1E8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815123"/>
    <w:multiLevelType w:val="hybridMultilevel"/>
    <w:tmpl w:val="01F0D012"/>
    <w:lvl w:ilvl="0" w:tplc="E41EF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660D62"/>
    <w:multiLevelType w:val="multilevel"/>
    <w:tmpl w:val="2CFAED1A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A8109EA"/>
    <w:multiLevelType w:val="multilevel"/>
    <w:tmpl w:val="C72EA318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4B007DB4"/>
    <w:multiLevelType w:val="multilevel"/>
    <w:tmpl w:val="54AA851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0D5742"/>
    <w:multiLevelType w:val="multilevel"/>
    <w:tmpl w:val="36E69A4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7" w:hanging="619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68">
    <w:nsid w:val="4D5B57DA"/>
    <w:multiLevelType w:val="multilevel"/>
    <w:tmpl w:val="9410D6C4"/>
    <w:lvl w:ilvl="0">
      <w:start w:val="1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DFB525C"/>
    <w:multiLevelType w:val="multilevel"/>
    <w:tmpl w:val="9FE0DA66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EC7B6A"/>
    <w:multiLevelType w:val="multilevel"/>
    <w:tmpl w:val="23C24E3C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2">
    <w:nsid w:val="4F9A1835"/>
    <w:multiLevelType w:val="multilevel"/>
    <w:tmpl w:val="B50CFD0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FAD5C48"/>
    <w:multiLevelType w:val="multilevel"/>
    <w:tmpl w:val="3A764A6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75">
    <w:nsid w:val="51917852"/>
    <w:multiLevelType w:val="multilevel"/>
    <w:tmpl w:val="4ADA107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BD6964"/>
    <w:multiLevelType w:val="multilevel"/>
    <w:tmpl w:val="E2D23CE0"/>
    <w:lvl w:ilvl="0">
      <w:start w:val="1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71161E"/>
    <w:multiLevelType w:val="multilevel"/>
    <w:tmpl w:val="69E2848E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56037190"/>
    <w:multiLevelType w:val="multilevel"/>
    <w:tmpl w:val="A8A6564C"/>
    <w:lvl w:ilvl="0">
      <w:start w:val="15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575F16FB"/>
    <w:multiLevelType w:val="multilevel"/>
    <w:tmpl w:val="B9B4BE54"/>
    <w:lvl w:ilvl="0">
      <w:start w:val="1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86A1923"/>
    <w:multiLevelType w:val="multilevel"/>
    <w:tmpl w:val="3104C2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F55F8D"/>
    <w:multiLevelType w:val="multilevel"/>
    <w:tmpl w:val="4110775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>
    <w:nsid w:val="5A261AAE"/>
    <w:multiLevelType w:val="multilevel"/>
    <w:tmpl w:val="7EAAB52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7867D9"/>
    <w:multiLevelType w:val="multilevel"/>
    <w:tmpl w:val="88B28F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936A7C"/>
    <w:multiLevelType w:val="multilevel"/>
    <w:tmpl w:val="DF0437B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C0E4E59"/>
    <w:multiLevelType w:val="multilevel"/>
    <w:tmpl w:val="977E5E4A"/>
    <w:lvl w:ilvl="0">
      <w:start w:val="22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>
    <w:nsid w:val="5C463717"/>
    <w:multiLevelType w:val="multilevel"/>
    <w:tmpl w:val="6F4E633E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>
    <w:nsid w:val="5C893EF2"/>
    <w:multiLevelType w:val="multilevel"/>
    <w:tmpl w:val="3AF646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F2A1C83"/>
    <w:multiLevelType w:val="multilevel"/>
    <w:tmpl w:val="1B420DA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645B8A"/>
    <w:multiLevelType w:val="multilevel"/>
    <w:tmpl w:val="0EB6BB7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F657708"/>
    <w:multiLevelType w:val="multilevel"/>
    <w:tmpl w:val="AE34A6EA"/>
    <w:lvl w:ilvl="0">
      <w:start w:val="2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61302F38"/>
    <w:multiLevelType w:val="multilevel"/>
    <w:tmpl w:val="1DC8EC0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06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93">
    <w:nsid w:val="61F842FE"/>
    <w:multiLevelType w:val="multilevel"/>
    <w:tmpl w:val="BCB4E8B8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3B56705"/>
    <w:multiLevelType w:val="multilevel"/>
    <w:tmpl w:val="137CD83E"/>
    <w:lvl w:ilvl="0">
      <w:start w:val="1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63C25ECE"/>
    <w:multiLevelType w:val="multilevel"/>
    <w:tmpl w:val="A3F8F5EA"/>
    <w:lvl w:ilvl="0">
      <w:start w:val="1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21240A"/>
    <w:multiLevelType w:val="multilevel"/>
    <w:tmpl w:val="04685F6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314CDC"/>
    <w:multiLevelType w:val="multilevel"/>
    <w:tmpl w:val="A86A9BA6"/>
    <w:lvl w:ilvl="0">
      <w:start w:val="15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A464A14"/>
    <w:multiLevelType w:val="multilevel"/>
    <w:tmpl w:val="354C3422"/>
    <w:lvl w:ilvl="0">
      <w:start w:val="20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6AA63D1E"/>
    <w:multiLevelType w:val="multilevel"/>
    <w:tmpl w:val="726E5132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>
    <w:nsid w:val="70497696"/>
    <w:multiLevelType w:val="multilevel"/>
    <w:tmpl w:val="60BED53A"/>
    <w:lvl w:ilvl="0">
      <w:start w:val="1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4F4F35"/>
    <w:multiLevelType w:val="multilevel"/>
    <w:tmpl w:val="8084DE02"/>
    <w:lvl w:ilvl="0">
      <w:start w:val="2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>
    <w:nsid w:val="714C4F64"/>
    <w:multiLevelType w:val="multilevel"/>
    <w:tmpl w:val="CB4EE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31428A8"/>
    <w:multiLevelType w:val="multilevel"/>
    <w:tmpl w:val="B3CC4F4A"/>
    <w:lvl w:ilvl="0">
      <w:start w:val="1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73B069D1"/>
    <w:multiLevelType w:val="multilevel"/>
    <w:tmpl w:val="9AB6A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4B64C19"/>
    <w:multiLevelType w:val="multilevel"/>
    <w:tmpl w:val="6038AAE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63654BD"/>
    <w:multiLevelType w:val="multilevel"/>
    <w:tmpl w:val="620248A4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585D83"/>
    <w:multiLevelType w:val="multilevel"/>
    <w:tmpl w:val="9DF67490"/>
    <w:lvl w:ilvl="0">
      <w:start w:val="2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9">
    <w:nsid w:val="77623312"/>
    <w:multiLevelType w:val="multilevel"/>
    <w:tmpl w:val="FF48F22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781850"/>
    <w:multiLevelType w:val="multilevel"/>
    <w:tmpl w:val="F090600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4935D2"/>
    <w:multiLevelType w:val="multilevel"/>
    <w:tmpl w:val="1596797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137418"/>
    <w:multiLevelType w:val="multilevel"/>
    <w:tmpl w:val="FF645A8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F96C8A"/>
    <w:multiLevelType w:val="multilevel"/>
    <w:tmpl w:val="6EAAE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EF3694"/>
    <w:multiLevelType w:val="multilevel"/>
    <w:tmpl w:val="F2E6FF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562B13"/>
    <w:multiLevelType w:val="multilevel"/>
    <w:tmpl w:val="754C493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EED0CBD"/>
    <w:multiLevelType w:val="multilevel"/>
    <w:tmpl w:val="438848B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>
    <w:nsid w:val="7F7F066D"/>
    <w:multiLevelType w:val="multilevel"/>
    <w:tmpl w:val="5D6C8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71"/>
  </w:num>
  <w:num w:numId="3">
    <w:abstractNumId w:val="15"/>
  </w:num>
  <w:num w:numId="4">
    <w:abstractNumId w:val="67"/>
  </w:num>
  <w:num w:numId="5">
    <w:abstractNumId w:val="61"/>
  </w:num>
  <w:num w:numId="6">
    <w:abstractNumId w:val="92"/>
  </w:num>
  <w:num w:numId="7">
    <w:abstractNumId w:val="31"/>
  </w:num>
  <w:num w:numId="8">
    <w:abstractNumId w:val="48"/>
  </w:num>
  <w:num w:numId="9">
    <w:abstractNumId w:val="29"/>
  </w:num>
  <w:num w:numId="10">
    <w:abstractNumId w:val="4"/>
  </w:num>
  <w:num w:numId="11">
    <w:abstractNumId w:val="0"/>
  </w:num>
  <w:num w:numId="12">
    <w:abstractNumId w:val="49"/>
  </w:num>
  <w:num w:numId="13">
    <w:abstractNumId w:val="117"/>
  </w:num>
  <w:num w:numId="14">
    <w:abstractNumId w:val="32"/>
  </w:num>
  <w:num w:numId="15">
    <w:abstractNumId w:val="51"/>
  </w:num>
  <w:num w:numId="16">
    <w:abstractNumId w:val="28"/>
  </w:num>
  <w:num w:numId="17">
    <w:abstractNumId w:val="16"/>
  </w:num>
  <w:num w:numId="18">
    <w:abstractNumId w:val="24"/>
  </w:num>
  <w:num w:numId="19">
    <w:abstractNumId w:val="53"/>
  </w:num>
  <w:num w:numId="20">
    <w:abstractNumId w:val="55"/>
  </w:num>
  <w:num w:numId="21">
    <w:abstractNumId w:val="38"/>
  </w:num>
  <w:num w:numId="22">
    <w:abstractNumId w:val="1"/>
  </w:num>
  <w:num w:numId="23">
    <w:abstractNumId w:val="57"/>
  </w:num>
  <w:num w:numId="24">
    <w:abstractNumId w:val="6"/>
  </w:num>
  <w:num w:numId="25">
    <w:abstractNumId w:val="8"/>
  </w:num>
  <w:num w:numId="26">
    <w:abstractNumId w:val="82"/>
  </w:num>
  <w:num w:numId="27">
    <w:abstractNumId w:val="90"/>
  </w:num>
  <w:num w:numId="28">
    <w:abstractNumId w:val="17"/>
  </w:num>
  <w:num w:numId="29">
    <w:abstractNumId w:val="69"/>
  </w:num>
  <w:num w:numId="30">
    <w:abstractNumId w:val="23"/>
  </w:num>
  <w:num w:numId="31">
    <w:abstractNumId w:val="115"/>
  </w:num>
  <w:num w:numId="32">
    <w:abstractNumId w:val="111"/>
  </w:num>
  <w:num w:numId="33">
    <w:abstractNumId w:val="35"/>
  </w:num>
  <w:num w:numId="34">
    <w:abstractNumId w:val="107"/>
  </w:num>
  <w:num w:numId="35">
    <w:abstractNumId w:val="22"/>
  </w:num>
  <w:num w:numId="36">
    <w:abstractNumId w:val="40"/>
  </w:num>
  <w:num w:numId="37">
    <w:abstractNumId w:val="100"/>
  </w:num>
  <w:num w:numId="38">
    <w:abstractNumId w:val="39"/>
  </w:num>
  <w:num w:numId="39">
    <w:abstractNumId w:val="42"/>
  </w:num>
  <w:num w:numId="40">
    <w:abstractNumId w:val="81"/>
  </w:num>
  <w:num w:numId="41">
    <w:abstractNumId w:val="36"/>
  </w:num>
  <w:num w:numId="42">
    <w:abstractNumId w:val="30"/>
  </w:num>
  <w:num w:numId="43">
    <w:abstractNumId w:val="73"/>
  </w:num>
  <w:num w:numId="44">
    <w:abstractNumId w:val="45"/>
  </w:num>
  <w:num w:numId="45">
    <w:abstractNumId w:val="104"/>
  </w:num>
  <w:num w:numId="46">
    <w:abstractNumId w:val="116"/>
  </w:num>
  <w:num w:numId="47">
    <w:abstractNumId w:val="11"/>
  </w:num>
  <w:num w:numId="48">
    <w:abstractNumId w:val="68"/>
  </w:num>
  <w:num w:numId="49">
    <w:abstractNumId w:val="94"/>
  </w:num>
  <w:num w:numId="50">
    <w:abstractNumId w:val="27"/>
  </w:num>
  <w:num w:numId="51">
    <w:abstractNumId w:val="98"/>
  </w:num>
  <w:num w:numId="52">
    <w:abstractNumId w:val="78"/>
  </w:num>
  <w:num w:numId="53">
    <w:abstractNumId w:val="9"/>
  </w:num>
  <w:num w:numId="54">
    <w:abstractNumId w:val="41"/>
  </w:num>
  <w:num w:numId="55">
    <w:abstractNumId w:val="3"/>
  </w:num>
  <w:num w:numId="56">
    <w:abstractNumId w:val="95"/>
  </w:num>
  <w:num w:numId="57">
    <w:abstractNumId w:val="76"/>
  </w:num>
  <w:num w:numId="58">
    <w:abstractNumId w:val="101"/>
  </w:num>
  <w:num w:numId="59">
    <w:abstractNumId w:val="79"/>
  </w:num>
  <w:num w:numId="60">
    <w:abstractNumId w:val="7"/>
  </w:num>
  <w:num w:numId="61">
    <w:abstractNumId w:val="19"/>
  </w:num>
  <w:num w:numId="62">
    <w:abstractNumId w:val="99"/>
  </w:num>
  <w:num w:numId="63">
    <w:abstractNumId w:val="59"/>
  </w:num>
  <w:num w:numId="64">
    <w:abstractNumId w:val="102"/>
  </w:num>
  <w:num w:numId="65">
    <w:abstractNumId w:val="18"/>
  </w:num>
  <w:num w:numId="66">
    <w:abstractNumId w:val="47"/>
  </w:num>
  <w:num w:numId="67">
    <w:abstractNumId w:val="10"/>
  </w:num>
  <w:num w:numId="68">
    <w:abstractNumId w:val="85"/>
  </w:num>
  <w:num w:numId="69">
    <w:abstractNumId w:val="46"/>
  </w:num>
  <w:num w:numId="70">
    <w:abstractNumId w:val="108"/>
  </w:num>
  <w:num w:numId="71">
    <w:abstractNumId w:val="20"/>
  </w:num>
  <w:num w:numId="72">
    <w:abstractNumId w:val="56"/>
  </w:num>
  <w:num w:numId="73">
    <w:abstractNumId w:val="14"/>
  </w:num>
  <w:num w:numId="74">
    <w:abstractNumId w:val="91"/>
  </w:num>
  <w:num w:numId="75">
    <w:abstractNumId w:val="113"/>
  </w:num>
  <w:num w:numId="76">
    <w:abstractNumId w:val="43"/>
  </w:num>
  <w:num w:numId="77">
    <w:abstractNumId w:val="34"/>
  </w:num>
  <w:num w:numId="78">
    <w:abstractNumId w:val="66"/>
  </w:num>
  <w:num w:numId="79">
    <w:abstractNumId w:val="25"/>
  </w:num>
  <w:num w:numId="80">
    <w:abstractNumId w:val="110"/>
  </w:num>
  <w:num w:numId="81">
    <w:abstractNumId w:val="62"/>
  </w:num>
  <w:num w:numId="82">
    <w:abstractNumId w:val="75"/>
  </w:num>
  <w:num w:numId="83">
    <w:abstractNumId w:val="58"/>
  </w:num>
  <w:num w:numId="84">
    <w:abstractNumId w:val="21"/>
  </w:num>
  <w:num w:numId="85">
    <w:abstractNumId w:val="93"/>
  </w:num>
  <w:num w:numId="86">
    <w:abstractNumId w:val="44"/>
  </w:num>
  <w:num w:numId="87">
    <w:abstractNumId w:val="72"/>
  </w:num>
  <w:num w:numId="88">
    <w:abstractNumId w:val="84"/>
  </w:num>
  <w:num w:numId="89">
    <w:abstractNumId w:val="88"/>
  </w:num>
  <w:num w:numId="90">
    <w:abstractNumId w:val="12"/>
  </w:num>
  <w:num w:numId="91">
    <w:abstractNumId w:val="13"/>
  </w:num>
  <w:num w:numId="92">
    <w:abstractNumId w:val="112"/>
  </w:num>
  <w:num w:numId="93">
    <w:abstractNumId w:val="105"/>
  </w:num>
  <w:num w:numId="94">
    <w:abstractNumId w:val="37"/>
  </w:num>
  <w:num w:numId="95">
    <w:abstractNumId w:val="83"/>
  </w:num>
  <w:num w:numId="96">
    <w:abstractNumId w:val="96"/>
  </w:num>
  <w:num w:numId="97">
    <w:abstractNumId w:val="2"/>
  </w:num>
  <w:num w:numId="98">
    <w:abstractNumId w:val="109"/>
  </w:num>
  <w:num w:numId="99">
    <w:abstractNumId w:val="106"/>
  </w:num>
  <w:num w:numId="100">
    <w:abstractNumId w:val="5"/>
  </w:num>
  <w:num w:numId="101">
    <w:abstractNumId w:val="50"/>
  </w:num>
  <w:num w:numId="102">
    <w:abstractNumId w:val="64"/>
  </w:num>
  <w:num w:numId="103">
    <w:abstractNumId w:val="86"/>
  </w:num>
  <w:num w:numId="104">
    <w:abstractNumId w:val="65"/>
  </w:num>
  <w:num w:numId="105">
    <w:abstractNumId w:val="70"/>
  </w:num>
  <w:num w:numId="106">
    <w:abstractNumId w:val="77"/>
  </w:num>
  <w:num w:numId="107">
    <w:abstractNumId w:val="26"/>
  </w:num>
  <w:num w:numId="108">
    <w:abstractNumId w:val="114"/>
  </w:num>
  <w:num w:numId="109">
    <w:abstractNumId w:val="60"/>
  </w:num>
  <w:num w:numId="110">
    <w:abstractNumId w:val="103"/>
  </w:num>
  <w:num w:numId="111">
    <w:abstractNumId w:val="33"/>
  </w:num>
  <w:num w:numId="112">
    <w:abstractNumId w:val="54"/>
  </w:num>
  <w:num w:numId="113">
    <w:abstractNumId w:val="52"/>
  </w:num>
  <w:num w:numId="114">
    <w:abstractNumId w:val="87"/>
  </w:num>
  <w:num w:numId="115">
    <w:abstractNumId w:val="80"/>
  </w:num>
  <w:num w:numId="116">
    <w:abstractNumId w:val="97"/>
  </w:num>
  <w:num w:numId="117">
    <w:abstractNumId w:val="89"/>
  </w:num>
  <w:num w:numId="1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004AF"/>
    <w:rsid w:val="000042B4"/>
    <w:rsid w:val="00006C7A"/>
    <w:rsid w:val="00015A9D"/>
    <w:rsid w:val="00021C24"/>
    <w:rsid w:val="00030C0C"/>
    <w:rsid w:val="00030D93"/>
    <w:rsid w:val="0004661D"/>
    <w:rsid w:val="000851FC"/>
    <w:rsid w:val="000861DA"/>
    <w:rsid w:val="00087410"/>
    <w:rsid w:val="0009121B"/>
    <w:rsid w:val="00091929"/>
    <w:rsid w:val="00095EDD"/>
    <w:rsid w:val="00096AFF"/>
    <w:rsid w:val="00097A1B"/>
    <w:rsid w:val="000A09F2"/>
    <w:rsid w:val="000A6174"/>
    <w:rsid w:val="000B7E2A"/>
    <w:rsid w:val="000C1EF5"/>
    <w:rsid w:val="000C35EA"/>
    <w:rsid w:val="000D3D71"/>
    <w:rsid w:val="000E179D"/>
    <w:rsid w:val="000F0B1A"/>
    <w:rsid w:val="000F4EAB"/>
    <w:rsid w:val="00103E5A"/>
    <w:rsid w:val="00111C1D"/>
    <w:rsid w:val="00112D03"/>
    <w:rsid w:val="001246C6"/>
    <w:rsid w:val="00124717"/>
    <w:rsid w:val="00124BA4"/>
    <w:rsid w:val="0013228D"/>
    <w:rsid w:val="001372C2"/>
    <w:rsid w:val="001405E7"/>
    <w:rsid w:val="00142478"/>
    <w:rsid w:val="001673C5"/>
    <w:rsid w:val="00174705"/>
    <w:rsid w:val="001A2F5A"/>
    <w:rsid w:val="001C080E"/>
    <w:rsid w:val="001D6E6C"/>
    <w:rsid w:val="001F1E60"/>
    <w:rsid w:val="0021385E"/>
    <w:rsid w:val="002203EB"/>
    <w:rsid w:val="00230068"/>
    <w:rsid w:val="00265F2D"/>
    <w:rsid w:val="00272FAB"/>
    <w:rsid w:val="00277ED3"/>
    <w:rsid w:val="0028014A"/>
    <w:rsid w:val="0028045D"/>
    <w:rsid w:val="0029038C"/>
    <w:rsid w:val="0029301F"/>
    <w:rsid w:val="00293EDE"/>
    <w:rsid w:val="002977F3"/>
    <w:rsid w:val="00297944"/>
    <w:rsid w:val="002B225B"/>
    <w:rsid w:val="002B3D1C"/>
    <w:rsid w:val="002D03FE"/>
    <w:rsid w:val="002D7ABD"/>
    <w:rsid w:val="002E306A"/>
    <w:rsid w:val="002E4487"/>
    <w:rsid w:val="002F6C1F"/>
    <w:rsid w:val="00301051"/>
    <w:rsid w:val="00303DD0"/>
    <w:rsid w:val="00304E43"/>
    <w:rsid w:val="003106CE"/>
    <w:rsid w:val="00312C17"/>
    <w:rsid w:val="00312FC8"/>
    <w:rsid w:val="00320776"/>
    <w:rsid w:val="0032430F"/>
    <w:rsid w:val="0034142A"/>
    <w:rsid w:val="003441A4"/>
    <w:rsid w:val="00353D41"/>
    <w:rsid w:val="00355754"/>
    <w:rsid w:val="00360865"/>
    <w:rsid w:val="00360D17"/>
    <w:rsid w:val="0037181F"/>
    <w:rsid w:val="00371C3B"/>
    <w:rsid w:val="003810AE"/>
    <w:rsid w:val="003B1210"/>
    <w:rsid w:val="003C3014"/>
    <w:rsid w:val="003C4B02"/>
    <w:rsid w:val="003C79F7"/>
    <w:rsid w:val="003D2BE7"/>
    <w:rsid w:val="003D64C2"/>
    <w:rsid w:val="003F0CAE"/>
    <w:rsid w:val="003F145E"/>
    <w:rsid w:val="004044D3"/>
    <w:rsid w:val="004044ED"/>
    <w:rsid w:val="004117BD"/>
    <w:rsid w:val="00414F7D"/>
    <w:rsid w:val="00416572"/>
    <w:rsid w:val="0042202D"/>
    <w:rsid w:val="00423F8B"/>
    <w:rsid w:val="004254A5"/>
    <w:rsid w:val="00433C0C"/>
    <w:rsid w:val="00446BD0"/>
    <w:rsid w:val="00452FE6"/>
    <w:rsid w:val="00464054"/>
    <w:rsid w:val="00466279"/>
    <w:rsid w:val="00477AE1"/>
    <w:rsid w:val="00480892"/>
    <w:rsid w:val="00497EA5"/>
    <w:rsid w:val="004A0C46"/>
    <w:rsid w:val="004B4DFF"/>
    <w:rsid w:val="004B554E"/>
    <w:rsid w:val="004C3525"/>
    <w:rsid w:val="004C7A72"/>
    <w:rsid w:val="004C7F22"/>
    <w:rsid w:val="004D2938"/>
    <w:rsid w:val="004E0244"/>
    <w:rsid w:val="004E1F6D"/>
    <w:rsid w:val="004F7080"/>
    <w:rsid w:val="005051F4"/>
    <w:rsid w:val="005224C4"/>
    <w:rsid w:val="005300DC"/>
    <w:rsid w:val="00554FD4"/>
    <w:rsid w:val="00555AD7"/>
    <w:rsid w:val="005567A6"/>
    <w:rsid w:val="00556E51"/>
    <w:rsid w:val="00557B9C"/>
    <w:rsid w:val="00567615"/>
    <w:rsid w:val="0058653A"/>
    <w:rsid w:val="00595673"/>
    <w:rsid w:val="005972A9"/>
    <w:rsid w:val="005A5DC9"/>
    <w:rsid w:val="005A6453"/>
    <w:rsid w:val="005B1213"/>
    <w:rsid w:val="005D0EBC"/>
    <w:rsid w:val="005D1894"/>
    <w:rsid w:val="005E291C"/>
    <w:rsid w:val="005F223D"/>
    <w:rsid w:val="00603308"/>
    <w:rsid w:val="00613430"/>
    <w:rsid w:val="00616DFA"/>
    <w:rsid w:val="00637EC1"/>
    <w:rsid w:val="00647E98"/>
    <w:rsid w:val="00660011"/>
    <w:rsid w:val="00684173"/>
    <w:rsid w:val="00684B02"/>
    <w:rsid w:val="006908DD"/>
    <w:rsid w:val="006909BD"/>
    <w:rsid w:val="006930B7"/>
    <w:rsid w:val="00694B75"/>
    <w:rsid w:val="006C73DE"/>
    <w:rsid w:val="006D7792"/>
    <w:rsid w:val="006E6768"/>
    <w:rsid w:val="006F218D"/>
    <w:rsid w:val="006F50D8"/>
    <w:rsid w:val="00700032"/>
    <w:rsid w:val="00716E08"/>
    <w:rsid w:val="0072202F"/>
    <w:rsid w:val="00746436"/>
    <w:rsid w:val="00753430"/>
    <w:rsid w:val="00765741"/>
    <w:rsid w:val="00767242"/>
    <w:rsid w:val="00792037"/>
    <w:rsid w:val="007A0CBD"/>
    <w:rsid w:val="007A6561"/>
    <w:rsid w:val="007B2B1F"/>
    <w:rsid w:val="007D5870"/>
    <w:rsid w:val="007E1E63"/>
    <w:rsid w:val="007E3495"/>
    <w:rsid w:val="007E6D61"/>
    <w:rsid w:val="008170F3"/>
    <w:rsid w:val="00817E6E"/>
    <w:rsid w:val="0083324A"/>
    <w:rsid w:val="008413A6"/>
    <w:rsid w:val="008472B2"/>
    <w:rsid w:val="00850A38"/>
    <w:rsid w:val="008603B1"/>
    <w:rsid w:val="0086530A"/>
    <w:rsid w:val="00865D55"/>
    <w:rsid w:val="008734B6"/>
    <w:rsid w:val="008909FD"/>
    <w:rsid w:val="0089470A"/>
    <w:rsid w:val="00896F6E"/>
    <w:rsid w:val="008A395C"/>
    <w:rsid w:val="008E42B8"/>
    <w:rsid w:val="008E7162"/>
    <w:rsid w:val="009060B2"/>
    <w:rsid w:val="009110FD"/>
    <w:rsid w:val="009159EA"/>
    <w:rsid w:val="00927538"/>
    <w:rsid w:val="00927DC7"/>
    <w:rsid w:val="0094271D"/>
    <w:rsid w:val="00960BDA"/>
    <w:rsid w:val="009877F2"/>
    <w:rsid w:val="00993731"/>
    <w:rsid w:val="00994D88"/>
    <w:rsid w:val="009A2EC7"/>
    <w:rsid w:val="009A5E30"/>
    <w:rsid w:val="009B3ED6"/>
    <w:rsid w:val="009B7DA6"/>
    <w:rsid w:val="009C36D1"/>
    <w:rsid w:val="009C47B9"/>
    <w:rsid w:val="00A066D0"/>
    <w:rsid w:val="00A07ADC"/>
    <w:rsid w:val="00A1430D"/>
    <w:rsid w:val="00A16031"/>
    <w:rsid w:val="00A3005E"/>
    <w:rsid w:val="00A31FD7"/>
    <w:rsid w:val="00A62209"/>
    <w:rsid w:val="00A824DF"/>
    <w:rsid w:val="00A90DF4"/>
    <w:rsid w:val="00A91B57"/>
    <w:rsid w:val="00AC202F"/>
    <w:rsid w:val="00AC6F3B"/>
    <w:rsid w:val="00AD0717"/>
    <w:rsid w:val="00AD22A4"/>
    <w:rsid w:val="00AE2E8D"/>
    <w:rsid w:val="00AF0C45"/>
    <w:rsid w:val="00AF2C76"/>
    <w:rsid w:val="00B126A7"/>
    <w:rsid w:val="00B16639"/>
    <w:rsid w:val="00B2252F"/>
    <w:rsid w:val="00B3186B"/>
    <w:rsid w:val="00B35966"/>
    <w:rsid w:val="00B4772A"/>
    <w:rsid w:val="00B510E7"/>
    <w:rsid w:val="00B5131B"/>
    <w:rsid w:val="00B55E9D"/>
    <w:rsid w:val="00B73B2D"/>
    <w:rsid w:val="00B74DD4"/>
    <w:rsid w:val="00B81F9B"/>
    <w:rsid w:val="00B832E4"/>
    <w:rsid w:val="00BB6056"/>
    <w:rsid w:val="00BC09E2"/>
    <w:rsid w:val="00BD1349"/>
    <w:rsid w:val="00BD41CB"/>
    <w:rsid w:val="00BD5E07"/>
    <w:rsid w:val="00BE18CA"/>
    <w:rsid w:val="00C00A2D"/>
    <w:rsid w:val="00C01F51"/>
    <w:rsid w:val="00C06C3F"/>
    <w:rsid w:val="00C11412"/>
    <w:rsid w:val="00C365E1"/>
    <w:rsid w:val="00C372D7"/>
    <w:rsid w:val="00C45329"/>
    <w:rsid w:val="00C526DB"/>
    <w:rsid w:val="00C55E7B"/>
    <w:rsid w:val="00C8564D"/>
    <w:rsid w:val="00CA0DBF"/>
    <w:rsid w:val="00CB0E87"/>
    <w:rsid w:val="00CB1200"/>
    <w:rsid w:val="00CB15CD"/>
    <w:rsid w:val="00CC01AA"/>
    <w:rsid w:val="00CC2FA7"/>
    <w:rsid w:val="00CF6BBE"/>
    <w:rsid w:val="00D009A2"/>
    <w:rsid w:val="00D04CCA"/>
    <w:rsid w:val="00D07FE6"/>
    <w:rsid w:val="00D14460"/>
    <w:rsid w:val="00D150C2"/>
    <w:rsid w:val="00D17301"/>
    <w:rsid w:val="00D23AF2"/>
    <w:rsid w:val="00D255E8"/>
    <w:rsid w:val="00D352A7"/>
    <w:rsid w:val="00D409D9"/>
    <w:rsid w:val="00D63270"/>
    <w:rsid w:val="00D63AC8"/>
    <w:rsid w:val="00D64815"/>
    <w:rsid w:val="00D83B6D"/>
    <w:rsid w:val="00D86A1D"/>
    <w:rsid w:val="00D9103B"/>
    <w:rsid w:val="00DA3FD1"/>
    <w:rsid w:val="00DA6901"/>
    <w:rsid w:val="00DB057C"/>
    <w:rsid w:val="00DB53E0"/>
    <w:rsid w:val="00DC6D98"/>
    <w:rsid w:val="00DD3DBA"/>
    <w:rsid w:val="00DE383E"/>
    <w:rsid w:val="00DE43AE"/>
    <w:rsid w:val="00DF15B5"/>
    <w:rsid w:val="00E14C56"/>
    <w:rsid w:val="00E17171"/>
    <w:rsid w:val="00E253AF"/>
    <w:rsid w:val="00E3209C"/>
    <w:rsid w:val="00E4053C"/>
    <w:rsid w:val="00E46C6D"/>
    <w:rsid w:val="00E4794B"/>
    <w:rsid w:val="00E577F5"/>
    <w:rsid w:val="00E72141"/>
    <w:rsid w:val="00E7453A"/>
    <w:rsid w:val="00E74C41"/>
    <w:rsid w:val="00E85B4D"/>
    <w:rsid w:val="00E903CC"/>
    <w:rsid w:val="00EA1A01"/>
    <w:rsid w:val="00EA27C7"/>
    <w:rsid w:val="00F14949"/>
    <w:rsid w:val="00F176FF"/>
    <w:rsid w:val="00F23A63"/>
    <w:rsid w:val="00F25429"/>
    <w:rsid w:val="00F279FD"/>
    <w:rsid w:val="00F32F9A"/>
    <w:rsid w:val="00F35B54"/>
    <w:rsid w:val="00F40C11"/>
    <w:rsid w:val="00F557D4"/>
    <w:rsid w:val="00F6226A"/>
    <w:rsid w:val="00F73347"/>
    <w:rsid w:val="00FB0236"/>
    <w:rsid w:val="00FB0CF1"/>
    <w:rsid w:val="00FD6140"/>
    <w:rsid w:val="00FE0FCA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4254A5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rPr>
      <w:sz w:val="22"/>
      <w:szCs w:val="22"/>
      <w:lang w:eastAsia="en-US"/>
    </w:rPr>
  </w:style>
  <w:style w:type="paragraph" w:customStyle="1" w:styleId="Default">
    <w:name w:val="Default"/>
    <w:rsid w:val="00425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="Calibri" w:hAnsi="Calibri"/>
      <w:color w:val="5A5A5A"/>
      <w:spacing w:val="15"/>
    </w:rPr>
  </w:style>
  <w:style w:type="character" w:customStyle="1" w:styleId="ac">
    <w:name w:val="Подзаголовок Знак"/>
    <w:link w:val="a8"/>
    <w:uiPriority w:val="11"/>
    <w:rsid w:val="004254A5"/>
    <w:rPr>
      <w:rFonts w:eastAsia="Times New Roman"/>
      <w:color w:val="5A5A5A"/>
      <w:spacing w:val="15"/>
      <w:lang w:val="ru-RU"/>
    </w:rPr>
  </w:style>
  <w:style w:type="paragraph" w:customStyle="1" w:styleId="ConsPlusNormal">
    <w:name w:val="ConsPlusNormal"/>
    <w:rsid w:val="004254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link w:val="2"/>
    <w:uiPriority w:val="9"/>
    <w:semiHidden/>
    <w:rsid w:val="00021C24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4254A5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rPr>
      <w:sz w:val="22"/>
      <w:szCs w:val="22"/>
      <w:lang w:eastAsia="en-US"/>
    </w:rPr>
  </w:style>
  <w:style w:type="paragraph" w:customStyle="1" w:styleId="Default">
    <w:name w:val="Default"/>
    <w:rsid w:val="00425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="Calibri" w:hAnsi="Calibri"/>
      <w:color w:val="5A5A5A"/>
      <w:spacing w:val="15"/>
    </w:rPr>
  </w:style>
  <w:style w:type="character" w:customStyle="1" w:styleId="ac">
    <w:name w:val="Подзаголовок Знак"/>
    <w:link w:val="a8"/>
    <w:uiPriority w:val="11"/>
    <w:rsid w:val="004254A5"/>
    <w:rPr>
      <w:rFonts w:eastAsia="Times New Roman"/>
      <w:color w:val="5A5A5A"/>
      <w:spacing w:val="15"/>
      <w:lang w:val="ru-RU"/>
    </w:rPr>
  </w:style>
  <w:style w:type="paragraph" w:customStyle="1" w:styleId="ConsPlusNormal">
    <w:name w:val="ConsPlusNormal"/>
    <w:rsid w:val="004254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link w:val="2"/>
    <w:uiPriority w:val="9"/>
    <w:semiHidden/>
    <w:rsid w:val="00021C24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173604&amp;dst=47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vedrova\AppData\Local\Microsoft\Windows\Temporary%20Internet%20Files\User\AppData\Local\Temp\&#1056;&#1045;&#1043;&#1051;&#1040;&#1052;&#1045;&#1053;&#1058;%20(&#1086;&#1082;&#1086;&#1085;&#1095;&#1072;&#1090;&#1077;&#1083;&#1100;&#1085;&#1072;&#1103;%20&#1088;&#1077;&#1076;&#1072;&#1082;&#1094;&#1080;&#1103;).docx" TargetMode="External"/><Relationship Id="rId17" Type="http://schemas.openxmlformats.org/officeDocument/2006/relationships/hyperlink" Target="https://login.consultant.ru/link/?req=doc&amp;base=LAW&amp;n=173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736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48A5C986891EDD145495EDBD150F7E4BB009A2772D7916D06C85EA11E7DAD3B4F0625C2f7u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173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AAF1-65BE-4389-B606-08EC49EB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Links>
    <vt:vector size="42" baseType="variant">
      <vt:variant>
        <vt:i4>3211378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https://login.consultant.ru/link/?req=doc&amp;base=LAW&amp;n=173604&amp;dst=475</vt:lpwstr>
      </vt:variant>
      <vt:variant>
        <vt:lpwstr/>
      </vt:variant>
      <vt:variant>
        <vt:i4>7209058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https://login.consultant.ru/link/?req=doc&amp;base=LAW&amp;n=173604</vt:lpwstr>
      </vt:variant>
      <vt:variant>
        <vt:lpwstr/>
      </vt:variant>
      <vt:variant>
        <vt:i4>7209058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https://login.consultant.ru/link/?req=doc&amp;base=LAW&amp;n=173604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7209058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https://login.consultant.ru/link/?req=doc&amp;base=LAW&amp;n=173604</vt:lpwstr>
      </vt:variant>
      <vt:variant>
        <vt:lpwstr/>
      </vt:variant>
      <vt:variant>
        <vt:i4>73598032</vt:i4>
      </vt:variant>
      <vt:variant>
        <vt:i4>6</vt:i4>
      </vt:variant>
      <vt:variant>
        <vt:i4>0</vt:i4>
      </vt:variant>
      <vt:variant>
        <vt:i4>5</vt:i4>
      </vt:variant>
      <vt:variant>
        <vt:lpwstr>C:\Users\vedrova\AppData\Local\Microsoft\Windows\Temporary Internet Files\User\AppData\Local\Temp\РЕГЛАМЕНТ (окончательная редакция).docx</vt:lpwstr>
      </vt:variant>
      <vt:variant>
        <vt:lpwstr>P27</vt:lpwstr>
      </vt:variant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consultantplus://offline/ref=2C448A5C986891EDD145495EDBD150F7E4BB009A2772D7916D06C85EA11E7DAD3B4F0625C2f7u2F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Косач Алёна</cp:lastModifiedBy>
  <cp:revision>3</cp:revision>
  <cp:lastPrinted>2025-02-14T07:02:00Z</cp:lastPrinted>
  <dcterms:created xsi:type="dcterms:W3CDTF">2025-02-27T03:58:00Z</dcterms:created>
  <dcterms:modified xsi:type="dcterms:W3CDTF">2025-02-27T04:00:00Z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