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2B" w:rsidRDefault="0026042B" w:rsidP="00FD0FD3"/>
    <w:p w:rsidR="0026042B" w:rsidRDefault="0026042B" w:rsidP="0026042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Динамика основных показателей социально-экономического развития</w:t>
      </w:r>
    </w:p>
    <w:p w:rsidR="0026042B" w:rsidRDefault="0026042B" w:rsidP="0026042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Томского района в 2010-2015 </w:t>
      </w:r>
      <w:r w:rsidR="000F57DA">
        <w:rPr>
          <w:b/>
          <w:sz w:val="24"/>
          <w:szCs w:val="24"/>
        </w:rPr>
        <w:t>годах</w:t>
      </w:r>
    </w:p>
    <w:p w:rsidR="0026042B" w:rsidRPr="002D0182" w:rsidRDefault="0026042B" w:rsidP="0026042B">
      <w:pPr>
        <w:jc w:val="center"/>
        <w:rPr>
          <w:sz w:val="24"/>
          <w:szCs w:val="24"/>
          <w:highlight w:val="yellow"/>
        </w:rPr>
      </w:pPr>
    </w:p>
    <w:p w:rsidR="0026042B" w:rsidRPr="00784493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  <w:r w:rsidRPr="00784493">
        <w:rPr>
          <w:b/>
          <w:bCs/>
          <w:i/>
          <w:sz w:val="24"/>
          <w:szCs w:val="24"/>
        </w:rPr>
        <w:t>Демография</w:t>
      </w:r>
    </w:p>
    <w:p w:rsidR="0026042B" w:rsidRPr="0057026C" w:rsidRDefault="0026042B" w:rsidP="0026042B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 положительных тенденциях развития района говорят, прежде всего, показатели численности населения.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 6 лет численность населения Томского района выросла с 68,8 тыс. человек в 2010 году до 72,4 тыс. человек в 2015 году, прирост за указанный период составил 5,2%. Ч</w:t>
      </w:r>
      <w:r w:rsidRPr="0057026C">
        <w:rPr>
          <w:sz w:val="24"/>
          <w:szCs w:val="24"/>
        </w:rPr>
        <w:t>исленност</w:t>
      </w:r>
      <w:r>
        <w:rPr>
          <w:sz w:val="24"/>
          <w:szCs w:val="24"/>
        </w:rPr>
        <w:t>ь</w:t>
      </w:r>
      <w:r w:rsidRPr="0057026C">
        <w:rPr>
          <w:sz w:val="24"/>
          <w:szCs w:val="24"/>
        </w:rPr>
        <w:t xml:space="preserve"> населения района </w:t>
      </w:r>
      <w:r>
        <w:rPr>
          <w:sz w:val="24"/>
          <w:szCs w:val="24"/>
        </w:rPr>
        <w:t>в 2015 году составила 6,7% от численности населения Томской области</w:t>
      </w:r>
      <w:r w:rsidRPr="0057026C">
        <w:rPr>
          <w:sz w:val="24"/>
          <w:szCs w:val="24"/>
        </w:rPr>
        <w:t>.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с 2010 года наблюдается естественный прирост населения в среднем на 160 человек в год. Коэффициент естественного прироста в 2015 году составил 2,2 на 1000 человек, по Томской области данный коэффициент составил 1,8. Весь анализируемый период характеризуется </w:t>
      </w:r>
      <w:r w:rsidRPr="0057026C">
        <w:rPr>
          <w:sz w:val="24"/>
          <w:szCs w:val="24"/>
        </w:rPr>
        <w:t xml:space="preserve">высоким уровнем </w:t>
      </w:r>
      <w:r>
        <w:rPr>
          <w:sz w:val="24"/>
          <w:szCs w:val="24"/>
        </w:rPr>
        <w:t>миграционного прироста, который составил в среднем 570 человек в год.</w:t>
      </w:r>
      <w:r w:rsidRPr="0057026C">
        <w:rPr>
          <w:sz w:val="24"/>
          <w:szCs w:val="24"/>
        </w:rPr>
        <w:t xml:space="preserve"> </w:t>
      </w:r>
    </w:p>
    <w:p w:rsidR="0026042B" w:rsidRPr="008C4195" w:rsidRDefault="0026042B" w:rsidP="0026042B">
      <w:pPr>
        <w:ind w:firstLine="567"/>
        <w:jc w:val="both"/>
        <w:rPr>
          <w:sz w:val="24"/>
          <w:szCs w:val="24"/>
          <w:highlight w:val="green"/>
        </w:rPr>
      </w:pP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3969"/>
        <w:gridCol w:w="850"/>
        <w:gridCol w:w="993"/>
        <w:gridCol w:w="992"/>
        <w:gridCol w:w="850"/>
        <w:gridCol w:w="850"/>
        <w:gridCol w:w="850"/>
      </w:tblGrid>
      <w:tr w:rsidR="0026042B" w:rsidRPr="008C4195" w:rsidTr="000D3B1E">
        <w:trPr>
          <w:trHeight w:val="276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</w:p>
          <w:p w:rsidR="0026042B" w:rsidRPr="00C57F36" w:rsidRDefault="0026042B" w:rsidP="000D3B1E">
            <w:pPr>
              <w:rPr>
                <w:b/>
                <w:bCs/>
                <w:color w:val="000000"/>
              </w:rPr>
            </w:pPr>
            <w:r w:rsidRPr="00C57F36">
              <w:rPr>
                <w:b/>
                <w:bCs/>
                <w:color w:val="000000"/>
              </w:rPr>
              <w:t xml:space="preserve">2015 </w:t>
            </w:r>
          </w:p>
        </w:tc>
      </w:tr>
      <w:tr w:rsidR="0026042B" w:rsidRPr="008C4195" w:rsidTr="000D3B1E">
        <w:trPr>
          <w:trHeight w:val="276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Численность населения,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68843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69642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70546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71541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B94AA2" w:rsidRDefault="0026042B" w:rsidP="000D3B1E">
            <w:pPr>
              <w:rPr>
                <w:bCs/>
                <w:color w:val="000000"/>
              </w:rPr>
            </w:pPr>
            <w:r w:rsidRPr="00B94AA2">
              <w:rPr>
                <w:bCs/>
                <w:color w:val="000000"/>
              </w:rPr>
              <w:t>71754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7D1227" w:rsidRDefault="0026042B" w:rsidP="000D3B1E">
            <w:pPr>
              <w:rPr>
                <w:bCs/>
                <w:color w:val="000000"/>
              </w:rPr>
            </w:pPr>
          </w:p>
          <w:p w:rsidR="0026042B" w:rsidRPr="007D1227" w:rsidRDefault="0026042B" w:rsidP="000D3B1E">
            <w:pPr>
              <w:rPr>
                <w:bCs/>
                <w:color w:val="000000"/>
              </w:rPr>
            </w:pPr>
            <w:r w:rsidRPr="007D1227">
              <w:rPr>
                <w:bCs/>
                <w:color w:val="000000"/>
              </w:rPr>
              <w:t>72412</w:t>
            </w:r>
          </w:p>
        </w:tc>
      </w:tr>
      <w:tr w:rsidR="0026042B" w:rsidRPr="008C4195" w:rsidTr="000D3B1E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i/>
                <w:iCs/>
                <w:color w:val="000000"/>
              </w:rPr>
            </w:pPr>
            <w:r w:rsidRPr="002A6B25">
              <w:rPr>
                <w:i/>
                <w:iCs/>
                <w:color w:val="000000"/>
              </w:rPr>
              <w:t>Рост,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i/>
                <w:iCs/>
                <w:color w:val="000000"/>
              </w:rPr>
            </w:pPr>
            <w:r w:rsidRPr="002A6B25">
              <w:rPr>
                <w:i/>
                <w:iCs/>
                <w:color w:val="000000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i/>
                <w:iCs/>
                <w:color w:val="000000"/>
              </w:rPr>
            </w:pPr>
            <w:r w:rsidRPr="002A6B25">
              <w:rPr>
                <w:i/>
                <w:iCs/>
                <w:color w:val="00000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8A7916" w:rsidRDefault="0026042B" w:rsidP="000D3B1E">
            <w:pPr>
              <w:rPr>
                <w:i/>
                <w:iCs/>
                <w:color w:val="000000"/>
              </w:rPr>
            </w:pPr>
            <w:r w:rsidRPr="008A7916">
              <w:rPr>
                <w:i/>
                <w:iCs/>
                <w:color w:val="000000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A7916" w:rsidRDefault="0026042B" w:rsidP="000D3B1E">
            <w:pPr>
              <w:rPr>
                <w:i/>
                <w:iCs/>
                <w:color w:val="000000"/>
              </w:rPr>
            </w:pPr>
            <w:r w:rsidRPr="008A7916">
              <w:rPr>
                <w:i/>
                <w:iCs/>
                <w:color w:val="000000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7D1227" w:rsidRDefault="0026042B" w:rsidP="000D3B1E">
            <w:pPr>
              <w:rPr>
                <w:bCs/>
                <w:i/>
                <w:color w:val="000000"/>
              </w:rPr>
            </w:pPr>
          </w:p>
          <w:p w:rsidR="0026042B" w:rsidRPr="007D1227" w:rsidRDefault="0026042B" w:rsidP="000D3B1E">
            <w:pPr>
              <w:rPr>
                <w:bCs/>
                <w:i/>
                <w:color w:val="000000"/>
              </w:rPr>
            </w:pPr>
            <w:r w:rsidRPr="007D1227">
              <w:rPr>
                <w:bCs/>
                <w:i/>
                <w:color w:val="000000"/>
              </w:rPr>
              <w:t>100,9</w:t>
            </w:r>
          </w:p>
        </w:tc>
      </w:tr>
      <w:tr w:rsidR="0026042B" w:rsidRPr="008C4195" w:rsidTr="000D3B1E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Естественный прирост (убыль)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B94AA2" w:rsidRDefault="0026042B" w:rsidP="000D3B1E">
            <w:pPr>
              <w:rPr>
                <w:color w:val="000000"/>
              </w:rPr>
            </w:pPr>
            <w:r w:rsidRPr="00B94AA2">
              <w:rPr>
                <w:color w:val="000000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7D1227" w:rsidRDefault="0026042B" w:rsidP="000D3B1E">
            <w:pPr>
              <w:rPr>
                <w:bCs/>
                <w:color w:val="000000"/>
              </w:rPr>
            </w:pPr>
          </w:p>
          <w:p w:rsidR="0026042B" w:rsidRPr="007D1227" w:rsidRDefault="0026042B" w:rsidP="000D3B1E">
            <w:pPr>
              <w:rPr>
                <w:bCs/>
                <w:color w:val="000000"/>
              </w:rPr>
            </w:pPr>
            <w:r w:rsidRPr="007D1227">
              <w:rPr>
                <w:bCs/>
                <w:color w:val="000000"/>
              </w:rPr>
              <w:t>157</w:t>
            </w:r>
          </w:p>
        </w:tc>
      </w:tr>
      <w:tr w:rsidR="0026042B" w:rsidRPr="008C4195" w:rsidTr="000D3B1E">
        <w:trPr>
          <w:trHeight w:val="27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Коэффициент естественного прироста, на 1000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B94AA2" w:rsidRDefault="0026042B" w:rsidP="000D3B1E">
            <w:pPr>
              <w:rPr>
                <w:bCs/>
                <w:color w:val="000000"/>
              </w:rPr>
            </w:pPr>
            <w:r w:rsidRPr="00B94AA2">
              <w:rPr>
                <w:bCs/>
                <w:color w:val="000000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7D1227" w:rsidRDefault="0026042B" w:rsidP="000D3B1E">
            <w:pPr>
              <w:rPr>
                <w:bCs/>
                <w:color w:val="000000"/>
              </w:rPr>
            </w:pPr>
          </w:p>
          <w:p w:rsidR="0026042B" w:rsidRPr="007D1227" w:rsidRDefault="0026042B" w:rsidP="000D3B1E">
            <w:pPr>
              <w:rPr>
                <w:bCs/>
                <w:color w:val="000000"/>
              </w:rPr>
            </w:pPr>
            <w:r w:rsidRPr="007D1227">
              <w:rPr>
                <w:bCs/>
                <w:color w:val="000000"/>
              </w:rPr>
              <w:t>2,2</w:t>
            </w:r>
          </w:p>
        </w:tc>
      </w:tr>
      <w:tr w:rsidR="0026042B" w:rsidRPr="008C4195" w:rsidTr="000D3B1E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Миграционный прирост (убыль)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color w:val="000000"/>
              </w:rPr>
            </w:pPr>
            <w:r w:rsidRPr="002A6B25">
              <w:rPr>
                <w:color w:val="000000"/>
              </w:rPr>
              <w:t>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C4195" w:rsidRDefault="0026042B" w:rsidP="000D3B1E">
            <w:pPr>
              <w:rPr>
                <w:color w:val="000000"/>
                <w:highlight w:val="green"/>
              </w:rPr>
            </w:pPr>
            <w:r w:rsidRPr="00B94AA2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7D1227" w:rsidRDefault="0026042B" w:rsidP="000D3B1E">
            <w:pPr>
              <w:rPr>
                <w:bCs/>
                <w:color w:val="000000"/>
              </w:rPr>
            </w:pPr>
          </w:p>
          <w:p w:rsidR="0026042B" w:rsidRPr="007D1227" w:rsidRDefault="0026042B" w:rsidP="000D3B1E">
            <w:pPr>
              <w:rPr>
                <w:bCs/>
                <w:color w:val="000000"/>
              </w:rPr>
            </w:pPr>
            <w:r w:rsidRPr="007D1227">
              <w:rPr>
                <w:bCs/>
                <w:color w:val="000000"/>
              </w:rPr>
              <w:t>501</w:t>
            </w:r>
          </w:p>
        </w:tc>
      </w:tr>
      <w:tr w:rsidR="0026042B" w:rsidRPr="008C4195" w:rsidTr="000D3B1E">
        <w:trPr>
          <w:trHeight w:val="276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Коэффициент миграционного прироста, на 1000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2A6B25" w:rsidRDefault="0026042B" w:rsidP="000D3B1E">
            <w:pPr>
              <w:rPr>
                <w:bCs/>
                <w:color w:val="000000"/>
              </w:rPr>
            </w:pPr>
            <w:r w:rsidRPr="002A6B25">
              <w:rPr>
                <w:bCs/>
                <w:color w:val="000000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C4195" w:rsidRDefault="0026042B" w:rsidP="000D3B1E">
            <w:pPr>
              <w:rPr>
                <w:bCs/>
                <w:color w:val="000000"/>
                <w:highlight w:val="green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7D1227" w:rsidRDefault="0026042B" w:rsidP="000D3B1E">
            <w:pPr>
              <w:rPr>
                <w:bCs/>
                <w:color w:val="000000"/>
              </w:rPr>
            </w:pPr>
          </w:p>
          <w:p w:rsidR="0026042B" w:rsidRPr="007D1227" w:rsidRDefault="0026042B" w:rsidP="000D3B1E">
            <w:pPr>
              <w:rPr>
                <w:bCs/>
                <w:color w:val="000000"/>
              </w:rPr>
            </w:pPr>
            <w:r w:rsidRPr="007D1227">
              <w:rPr>
                <w:bCs/>
                <w:color w:val="000000"/>
              </w:rPr>
              <w:t>7,0</w:t>
            </w:r>
          </w:p>
        </w:tc>
      </w:tr>
    </w:tbl>
    <w:p w:rsidR="0026042B" w:rsidRDefault="0026042B" w:rsidP="0026042B">
      <w:pPr>
        <w:ind w:firstLine="567"/>
        <w:jc w:val="center"/>
        <w:rPr>
          <w:sz w:val="24"/>
          <w:szCs w:val="24"/>
          <w:highlight w:val="green"/>
        </w:rPr>
      </w:pPr>
    </w:p>
    <w:p w:rsidR="0026042B" w:rsidRDefault="001338A4" w:rsidP="00C767BE">
      <w:pPr>
        <w:ind w:hanging="142"/>
        <w:jc w:val="center"/>
      </w:pPr>
      <w:r w:rsidRPr="0096405B">
        <w:rPr>
          <w:noProof/>
        </w:rPr>
        <w:drawing>
          <wp:inline distT="0" distB="0" distL="0" distR="0">
            <wp:extent cx="6484620" cy="436626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67BE" w:rsidRDefault="00C767BE" w:rsidP="0026042B">
      <w:pPr>
        <w:ind w:firstLine="567"/>
        <w:rPr>
          <w:b/>
          <w:bCs/>
          <w:i/>
          <w:sz w:val="24"/>
          <w:szCs w:val="24"/>
        </w:rPr>
      </w:pPr>
    </w:p>
    <w:p w:rsidR="00C767BE" w:rsidRDefault="00C767BE" w:rsidP="0026042B">
      <w:pPr>
        <w:ind w:firstLine="567"/>
        <w:rPr>
          <w:b/>
          <w:bCs/>
          <w:i/>
          <w:sz w:val="24"/>
          <w:szCs w:val="24"/>
        </w:rPr>
      </w:pPr>
    </w:p>
    <w:p w:rsidR="0026042B" w:rsidRPr="00784493" w:rsidRDefault="0026042B" w:rsidP="0026042B">
      <w:pPr>
        <w:ind w:firstLine="567"/>
        <w:rPr>
          <w:b/>
          <w:bCs/>
          <w:i/>
          <w:sz w:val="24"/>
          <w:szCs w:val="24"/>
        </w:rPr>
      </w:pPr>
      <w:r w:rsidRPr="00784493">
        <w:rPr>
          <w:b/>
          <w:bCs/>
          <w:i/>
          <w:sz w:val="24"/>
          <w:szCs w:val="24"/>
        </w:rPr>
        <w:t>Рынок труда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6 лет </w:t>
      </w:r>
      <w:r w:rsidRPr="00CC7FAC">
        <w:rPr>
          <w:sz w:val="24"/>
          <w:szCs w:val="24"/>
        </w:rPr>
        <w:t xml:space="preserve">численность экономически </w:t>
      </w:r>
      <w:r w:rsidRPr="00F62758">
        <w:rPr>
          <w:sz w:val="24"/>
          <w:szCs w:val="24"/>
        </w:rPr>
        <w:t>активного населения выросла на 15%, с 35,5 тыс. человек в 2010 году до 40,8 тыс. человек в 2015 году</w:t>
      </w:r>
      <w:r>
        <w:rPr>
          <w:sz w:val="24"/>
          <w:szCs w:val="24"/>
        </w:rPr>
        <w:t>, при этом</w:t>
      </w:r>
      <w:r w:rsidRPr="00F6275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F62758">
        <w:rPr>
          <w:sz w:val="24"/>
          <w:szCs w:val="24"/>
        </w:rPr>
        <w:t>оличество безработных</w:t>
      </w:r>
      <w:r w:rsidRPr="008D7305">
        <w:rPr>
          <w:sz w:val="24"/>
          <w:szCs w:val="24"/>
        </w:rPr>
        <w:t xml:space="preserve"> </w:t>
      </w:r>
      <w:r w:rsidRPr="00CC7FAC">
        <w:rPr>
          <w:sz w:val="24"/>
          <w:szCs w:val="24"/>
        </w:rPr>
        <w:t>сократилось</w:t>
      </w:r>
      <w:r w:rsidRPr="008D7305">
        <w:rPr>
          <w:sz w:val="24"/>
          <w:szCs w:val="24"/>
        </w:rPr>
        <w:t xml:space="preserve"> </w:t>
      </w:r>
      <w:r w:rsidRPr="00CC7FAC">
        <w:rPr>
          <w:sz w:val="24"/>
          <w:szCs w:val="24"/>
        </w:rPr>
        <w:t xml:space="preserve">в </w:t>
      </w:r>
      <w:r>
        <w:rPr>
          <w:sz w:val="24"/>
          <w:szCs w:val="24"/>
        </w:rPr>
        <w:t>1,6</w:t>
      </w:r>
      <w:r w:rsidRPr="00CC7FAC">
        <w:rPr>
          <w:sz w:val="24"/>
          <w:szCs w:val="24"/>
        </w:rPr>
        <w:t xml:space="preserve"> раза.</w:t>
      </w:r>
      <w:r>
        <w:rPr>
          <w:sz w:val="24"/>
          <w:szCs w:val="24"/>
        </w:rPr>
        <w:t xml:space="preserve"> Уровень регистрируемой безработицы составил 1,2%, что ниже аналогичного показателя по Томской области, который составил 1,7%.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023"/>
        <w:gridCol w:w="1023"/>
        <w:gridCol w:w="1023"/>
        <w:gridCol w:w="1023"/>
        <w:gridCol w:w="1023"/>
        <w:gridCol w:w="1023"/>
      </w:tblGrid>
      <w:tr w:rsidR="0026042B" w:rsidRPr="00227ECB" w:rsidTr="000D3B1E">
        <w:trPr>
          <w:jc w:val="center"/>
        </w:trPr>
        <w:tc>
          <w:tcPr>
            <w:tcW w:w="2912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Наименование показателя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2010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2011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2012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2013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 xml:space="preserve">2014 </w:t>
            </w:r>
          </w:p>
        </w:tc>
        <w:tc>
          <w:tcPr>
            <w:tcW w:w="1023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 xml:space="preserve">2015 </w:t>
            </w:r>
          </w:p>
        </w:tc>
      </w:tr>
      <w:tr w:rsidR="0026042B" w:rsidRPr="00227ECB" w:rsidTr="000D3B1E">
        <w:trPr>
          <w:jc w:val="center"/>
        </w:trPr>
        <w:tc>
          <w:tcPr>
            <w:tcW w:w="2912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Численность экономически активного населения (ЭАН), чел.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35500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39900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39200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37800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38500</w:t>
            </w:r>
          </w:p>
        </w:tc>
        <w:tc>
          <w:tcPr>
            <w:tcW w:w="1023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4</w:t>
            </w:r>
            <w:r>
              <w:t>0800</w:t>
            </w:r>
          </w:p>
        </w:tc>
      </w:tr>
      <w:tr w:rsidR="0026042B" w:rsidRPr="00227ECB" w:rsidTr="000D3B1E">
        <w:trPr>
          <w:jc w:val="center"/>
        </w:trPr>
        <w:tc>
          <w:tcPr>
            <w:tcW w:w="2912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Численность безработных граждан, состоявших в органах службы занятости, человек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763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560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417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366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394</w:t>
            </w:r>
          </w:p>
        </w:tc>
        <w:tc>
          <w:tcPr>
            <w:tcW w:w="1023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490</w:t>
            </w:r>
          </w:p>
        </w:tc>
      </w:tr>
      <w:tr w:rsidR="0026042B" w:rsidRPr="00227ECB" w:rsidTr="000D3B1E">
        <w:trPr>
          <w:jc w:val="center"/>
        </w:trPr>
        <w:tc>
          <w:tcPr>
            <w:tcW w:w="2912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Уровень регистрируемой безработицы от ЭАН, %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2,2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1,4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1,1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1</w:t>
            </w:r>
            <w:r>
              <w:t>,0</w:t>
            </w:r>
          </w:p>
        </w:tc>
        <w:tc>
          <w:tcPr>
            <w:tcW w:w="1023" w:type="dxa"/>
          </w:tcPr>
          <w:p w:rsidR="0026042B" w:rsidRPr="00227ECB" w:rsidRDefault="0026042B" w:rsidP="000D3B1E">
            <w:pPr>
              <w:jc w:val="both"/>
            </w:pPr>
            <w:r w:rsidRPr="00227ECB">
              <w:t>1</w:t>
            </w:r>
            <w:r>
              <w:t>,0</w:t>
            </w:r>
          </w:p>
        </w:tc>
        <w:tc>
          <w:tcPr>
            <w:tcW w:w="1023" w:type="dxa"/>
            <w:shd w:val="clear" w:color="auto" w:fill="auto"/>
          </w:tcPr>
          <w:p w:rsidR="0026042B" w:rsidRPr="00227ECB" w:rsidRDefault="0026042B" w:rsidP="000D3B1E">
            <w:pPr>
              <w:jc w:val="both"/>
            </w:pPr>
            <w:r w:rsidRPr="00227ECB">
              <w:t>1,2</w:t>
            </w:r>
          </w:p>
        </w:tc>
      </w:tr>
    </w:tbl>
    <w:p w:rsidR="0026042B" w:rsidRDefault="0026042B" w:rsidP="0026042B">
      <w:pPr>
        <w:ind w:firstLine="567"/>
        <w:jc w:val="both"/>
        <w:rPr>
          <w:sz w:val="24"/>
          <w:szCs w:val="24"/>
          <w:highlight w:val="yellow"/>
        </w:rPr>
      </w:pPr>
    </w:p>
    <w:p w:rsidR="0026042B" w:rsidRDefault="001338A4" w:rsidP="0026042B">
      <w:pPr>
        <w:ind w:firstLine="567"/>
        <w:jc w:val="center"/>
        <w:rPr>
          <w:sz w:val="24"/>
          <w:szCs w:val="24"/>
          <w:highlight w:val="yellow"/>
        </w:rPr>
      </w:pPr>
      <w:r w:rsidRPr="0096405B">
        <w:rPr>
          <w:noProof/>
        </w:rPr>
        <w:drawing>
          <wp:inline distT="0" distB="0" distL="0" distR="0">
            <wp:extent cx="5288280" cy="243078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042B" w:rsidRDefault="0026042B" w:rsidP="0026042B">
      <w:pPr>
        <w:ind w:firstLine="567"/>
        <w:jc w:val="both"/>
        <w:rPr>
          <w:rFonts w:cs="Arial"/>
          <w:iCs/>
          <w:sz w:val="24"/>
          <w:szCs w:val="24"/>
        </w:rPr>
      </w:pPr>
    </w:p>
    <w:p w:rsidR="0026042B" w:rsidRDefault="0026042B" w:rsidP="0026042B">
      <w:pPr>
        <w:ind w:firstLine="567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Согласно баланса трудовых ресурсов, сформированного комитетом по экономике в 2015 году, ч</w:t>
      </w:r>
      <w:r w:rsidRPr="00C25929">
        <w:rPr>
          <w:rFonts w:cs="Arial"/>
          <w:iCs/>
          <w:sz w:val="24"/>
          <w:szCs w:val="24"/>
        </w:rPr>
        <w:t xml:space="preserve">исленность занятых в экономике </w:t>
      </w:r>
      <w:r>
        <w:rPr>
          <w:rFonts w:cs="Arial"/>
          <w:iCs/>
          <w:sz w:val="24"/>
          <w:szCs w:val="24"/>
        </w:rPr>
        <w:t xml:space="preserve">района </w:t>
      </w:r>
      <w:r w:rsidRPr="00C25929">
        <w:rPr>
          <w:rFonts w:cs="Arial"/>
          <w:iCs/>
          <w:sz w:val="24"/>
          <w:szCs w:val="24"/>
        </w:rPr>
        <w:t>состав</w:t>
      </w:r>
      <w:r>
        <w:rPr>
          <w:rFonts w:cs="Arial"/>
          <w:iCs/>
          <w:sz w:val="24"/>
          <w:szCs w:val="24"/>
        </w:rPr>
        <w:t>ляет</w:t>
      </w:r>
      <w:r w:rsidRPr="00C25929">
        <w:rPr>
          <w:rFonts w:cs="Arial"/>
          <w:iCs/>
          <w:sz w:val="24"/>
          <w:szCs w:val="24"/>
        </w:rPr>
        <w:t xml:space="preserve"> 26,3 тыс. чел., что к уровню 2014 года – 100,8%. </w:t>
      </w:r>
      <w:r>
        <w:rPr>
          <w:rFonts w:cs="Arial"/>
          <w:iCs/>
          <w:sz w:val="24"/>
          <w:szCs w:val="24"/>
        </w:rPr>
        <w:t xml:space="preserve">  </w:t>
      </w:r>
    </w:p>
    <w:p w:rsidR="0026042B" w:rsidRPr="00C25929" w:rsidRDefault="0026042B" w:rsidP="0026042B">
      <w:pPr>
        <w:ind w:firstLine="567"/>
        <w:jc w:val="both"/>
        <w:rPr>
          <w:rFonts w:cs="Arial"/>
          <w:iCs/>
          <w:sz w:val="24"/>
          <w:szCs w:val="24"/>
        </w:rPr>
      </w:pPr>
      <w:r w:rsidRPr="00C25929">
        <w:rPr>
          <w:rFonts w:cs="Arial"/>
          <w:iCs/>
          <w:sz w:val="24"/>
          <w:szCs w:val="24"/>
        </w:rPr>
        <w:t>В частном секторе работают 81,5% от численности занятых в экономике</w:t>
      </w:r>
      <w:r>
        <w:rPr>
          <w:rFonts w:cs="Arial"/>
          <w:iCs/>
          <w:sz w:val="24"/>
          <w:szCs w:val="24"/>
        </w:rPr>
        <w:t xml:space="preserve"> Томского района. С</w:t>
      </w:r>
      <w:r w:rsidRPr="00C25929">
        <w:rPr>
          <w:rFonts w:cs="Arial"/>
          <w:iCs/>
          <w:sz w:val="24"/>
          <w:szCs w:val="24"/>
        </w:rPr>
        <w:t>труктура</w:t>
      </w:r>
      <w:r>
        <w:rPr>
          <w:rFonts w:cs="Arial"/>
          <w:iCs/>
          <w:sz w:val="24"/>
          <w:szCs w:val="24"/>
        </w:rPr>
        <w:t xml:space="preserve"> занятых в частном секторе представлена следующим образом: </w:t>
      </w:r>
      <w:r w:rsidRPr="00C25929">
        <w:rPr>
          <w:rFonts w:cs="Arial"/>
          <w:iCs/>
          <w:sz w:val="24"/>
          <w:szCs w:val="24"/>
        </w:rPr>
        <w:t>61,86 %</w:t>
      </w:r>
      <w:r>
        <w:rPr>
          <w:rFonts w:cs="Arial"/>
          <w:iCs/>
          <w:sz w:val="24"/>
          <w:szCs w:val="24"/>
        </w:rPr>
        <w:t xml:space="preserve"> занято в частных предприятиях, </w:t>
      </w:r>
      <w:r w:rsidRPr="00C25929">
        <w:rPr>
          <w:rFonts w:cs="Arial"/>
          <w:iCs/>
          <w:sz w:val="24"/>
          <w:szCs w:val="24"/>
        </w:rPr>
        <w:t>37,21 %</w:t>
      </w:r>
      <w:r>
        <w:rPr>
          <w:rFonts w:cs="Arial"/>
          <w:iCs/>
          <w:sz w:val="24"/>
          <w:szCs w:val="24"/>
        </w:rPr>
        <w:t xml:space="preserve"> -</w:t>
      </w:r>
      <w:r w:rsidRPr="00C25929">
        <w:rPr>
          <w:rFonts w:cs="Arial"/>
          <w:iCs/>
          <w:sz w:val="24"/>
          <w:szCs w:val="24"/>
        </w:rPr>
        <w:t xml:space="preserve"> лица, занятые индивидуальным трудом и по найму у отдельных гр</w:t>
      </w:r>
      <w:r>
        <w:rPr>
          <w:rFonts w:cs="Arial"/>
          <w:iCs/>
          <w:sz w:val="24"/>
          <w:szCs w:val="24"/>
        </w:rPr>
        <w:t xml:space="preserve">аждан, </w:t>
      </w:r>
      <w:r w:rsidRPr="00C25929">
        <w:rPr>
          <w:rFonts w:cs="Arial"/>
          <w:iCs/>
          <w:sz w:val="24"/>
          <w:szCs w:val="24"/>
        </w:rPr>
        <w:t>0,93 % - в КФХ</w:t>
      </w:r>
      <w:r>
        <w:rPr>
          <w:rFonts w:cs="Arial"/>
          <w:iCs/>
          <w:sz w:val="24"/>
          <w:szCs w:val="24"/>
        </w:rPr>
        <w:t>.</w:t>
      </w:r>
      <w:r w:rsidRPr="00C25929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В</w:t>
      </w:r>
      <w:r w:rsidRPr="00C25929">
        <w:rPr>
          <w:rFonts w:cs="Arial"/>
          <w:iCs/>
          <w:sz w:val="24"/>
          <w:szCs w:val="24"/>
        </w:rPr>
        <w:t xml:space="preserve"> организациях государственной формы собственности </w:t>
      </w:r>
      <w:r>
        <w:rPr>
          <w:rFonts w:cs="Arial"/>
          <w:iCs/>
          <w:sz w:val="24"/>
          <w:szCs w:val="24"/>
        </w:rPr>
        <w:t>работает</w:t>
      </w:r>
      <w:r w:rsidRPr="00C25929">
        <w:rPr>
          <w:rFonts w:cs="Arial"/>
          <w:iCs/>
          <w:sz w:val="24"/>
          <w:szCs w:val="24"/>
        </w:rPr>
        <w:t xml:space="preserve"> 5,4%</w:t>
      </w:r>
      <w:r>
        <w:rPr>
          <w:rFonts w:cs="Arial"/>
          <w:iCs/>
          <w:sz w:val="24"/>
          <w:szCs w:val="24"/>
        </w:rPr>
        <w:t xml:space="preserve"> от численности занятых в экономике</w:t>
      </w:r>
      <w:r w:rsidRPr="00C25929">
        <w:rPr>
          <w:rFonts w:cs="Arial"/>
          <w:iCs/>
          <w:sz w:val="24"/>
          <w:szCs w:val="24"/>
        </w:rPr>
        <w:t>, в организациях муниципальной формы собственности – 12,5%, в организациях смешанной формы собственности – 0,5%.</w:t>
      </w:r>
    </w:p>
    <w:p w:rsidR="0026042B" w:rsidRPr="00F64FDC" w:rsidRDefault="0026042B" w:rsidP="0026042B">
      <w:pPr>
        <w:ind w:firstLine="567"/>
        <w:jc w:val="both"/>
        <w:rPr>
          <w:sz w:val="24"/>
          <w:szCs w:val="24"/>
        </w:rPr>
      </w:pPr>
      <w:r w:rsidRPr="00F64FDC">
        <w:rPr>
          <w:sz w:val="24"/>
          <w:szCs w:val="24"/>
        </w:rPr>
        <w:t xml:space="preserve">В 2015 году за содействием в поиске подходящей работы в ОГКУ «Центр занятости населения </w:t>
      </w:r>
      <w:r>
        <w:rPr>
          <w:sz w:val="24"/>
          <w:szCs w:val="24"/>
        </w:rPr>
        <w:t xml:space="preserve">г. Томска и </w:t>
      </w:r>
      <w:r w:rsidRPr="00F64FDC">
        <w:rPr>
          <w:sz w:val="24"/>
          <w:szCs w:val="24"/>
        </w:rPr>
        <w:t>Томского района» обратилось 2096</w:t>
      </w:r>
      <w:r>
        <w:rPr>
          <w:sz w:val="24"/>
          <w:szCs w:val="24"/>
        </w:rPr>
        <w:t xml:space="preserve"> человек</w:t>
      </w:r>
      <w:r w:rsidRPr="00F64FDC">
        <w:rPr>
          <w:sz w:val="24"/>
          <w:szCs w:val="24"/>
        </w:rPr>
        <w:t>, что на 10,7% меньше</w:t>
      </w:r>
      <w:r>
        <w:rPr>
          <w:sz w:val="24"/>
          <w:szCs w:val="24"/>
        </w:rPr>
        <w:t>,</w:t>
      </w:r>
      <w:r w:rsidRPr="00F64FDC">
        <w:rPr>
          <w:sz w:val="24"/>
          <w:szCs w:val="24"/>
        </w:rPr>
        <w:t xml:space="preserve"> чем за 2014 год.</w:t>
      </w:r>
    </w:p>
    <w:p w:rsidR="0026042B" w:rsidRPr="00F64FDC" w:rsidRDefault="0026042B" w:rsidP="0026042B">
      <w:pPr>
        <w:ind w:firstLine="567"/>
        <w:jc w:val="both"/>
        <w:rPr>
          <w:sz w:val="24"/>
          <w:szCs w:val="24"/>
        </w:rPr>
      </w:pPr>
      <w:r w:rsidRPr="00F64FDC">
        <w:rPr>
          <w:sz w:val="24"/>
          <w:szCs w:val="24"/>
        </w:rPr>
        <w:t xml:space="preserve">На постоянную и временную работу из числа граждан, обратившихся по вопросу трудоустройства и состоявших на учете в 2015 году, трудоустроены 1358 человек (в 2014г.- 1442 чел.). </w:t>
      </w:r>
    </w:p>
    <w:p w:rsidR="0026042B" w:rsidRPr="00C614CC" w:rsidRDefault="0026042B" w:rsidP="0026042B">
      <w:pPr>
        <w:ind w:firstLine="567"/>
        <w:jc w:val="both"/>
        <w:rPr>
          <w:sz w:val="24"/>
          <w:szCs w:val="24"/>
        </w:rPr>
      </w:pPr>
      <w:r w:rsidRPr="00C614CC">
        <w:rPr>
          <w:sz w:val="24"/>
          <w:szCs w:val="24"/>
        </w:rPr>
        <w:t>Из числа зарегистрированных безработных граждан трудоустроено 342 чел. (в 2014г.- 404 чел.).</w:t>
      </w:r>
    </w:p>
    <w:p w:rsidR="0026042B" w:rsidRPr="00C614CC" w:rsidRDefault="0026042B" w:rsidP="0026042B">
      <w:pPr>
        <w:ind w:firstLine="567"/>
        <w:jc w:val="both"/>
        <w:rPr>
          <w:sz w:val="24"/>
          <w:szCs w:val="24"/>
        </w:rPr>
      </w:pPr>
      <w:r w:rsidRPr="00C614CC">
        <w:rPr>
          <w:sz w:val="24"/>
          <w:szCs w:val="24"/>
        </w:rPr>
        <w:t>В рамках ведомственной целевой программы «Содействие занятости населения Томской области» проведены следующие мероприятия:</w:t>
      </w:r>
    </w:p>
    <w:p w:rsidR="0026042B" w:rsidRPr="00C614CC" w:rsidRDefault="0026042B" w:rsidP="0026042B">
      <w:pPr>
        <w:numPr>
          <w:ilvl w:val="0"/>
          <w:numId w:val="6"/>
        </w:numPr>
        <w:jc w:val="both"/>
        <w:rPr>
          <w:sz w:val="24"/>
          <w:szCs w:val="24"/>
        </w:rPr>
      </w:pPr>
      <w:r w:rsidRPr="00C614CC">
        <w:rPr>
          <w:sz w:val="24"/>
          <w:szCs w:val="24"/>
        </w:rPr>
        <w:t>В общественных работах приняли участие 170 безработных граждан.</w:t>
      </w:r>
    </w:p>
    <w:p w:rsidR="0026042B" w:rsidRPr="00C614CC" w:rsidRDefault="0026042B" w:rsidP="0026042B">
      <w:pPr>
        <w:numPr>
          <w:ilvl w:val="0"/>
          <w:numId w:val="6"/>
        </w:numPr>
        <w:jc w:val="both"/>
        <w:rPr>
          <w:sz w:val="24"/>
          <w:szCs w:val="24"/>
        </w:rPr>
      </w:pPr>
      <w:r w:rsidRPr="00C614CC">
        <w:rPr>
          <w:sz w:val="24"/>
          <w:szCs w:val="24"/>
        </w:rPr>
        <w:t>На временные работы были трудоустроены 519 несовершеннолетних граждан в возрасте от 14 до 17 лет в свободное от учебы время.</w:t>
      </w:r>
    </w:p>
    <w:p w:rsidR="0026042B" w:rsidRPr="00C614CC" w:rsidRDefault="0026042B" w:rsidP="0026042B">
      <w:pPr>
        <w:numPr>
          <w:ilvl w:val="0"/>
          <w:numId w:val="6"/>
        </w:numPr>
        <w:jc w:val="both"/>
        <w:rPr>
          <w:sz w:val="24"/>
          <w:szCs w:val="24"/>
        </w:rPr>
      </w:pPr>
      <w:r w:rsidRPr="00C614CC">
        <w:rPr>
          <w:sz w:val="24"/>
          <w:szCs w:val="24"/>
        </w:rPr>
        <w:t>Комплекс информационных, консультационных и образовательных услуг, включая помощь при подготовке документов, составлении бизнес-планов, получили 56 человек (безработные граждане).</w:t>
      </w:r>
    </w:p>
    <w:p w:rsidR="0026042B" w:rsidRPr="00C614CC" w:rsidRDefault="0026042B" w:rsidP="0026042B">
      <w:pPr>
        <w:numPr>
          <w:ilvl w:val="0"/>
          <w:numId w:val="6"/>
        </w:numPr>
        <w:jc w:val="both"/>
        <w:rPr>
          <w:sz w:val="24"/>
          <w:szCs w:val="24"/>
        </w:rPr>
      </w:pPr>
      <w:r w:rsidRPr="00C614CC">
        <w:rPr>
          <w:sz w:val="24"/>
          <w:szCs w:val="24"/>
        </w:rPr>
        <w:t>Услугами по профессиональной ориентации (консультирование, информирование и профессиональный отбор) воспользовались 1061 человек.</w:t>
      </w:r>
    </w:p>
    <w:p w:rsidR="0026042B" w:rsidRPr="00C614CC" w:rsidRDefault="0026042B" w:rsidP="0026042B">
      <w:pPr>
        <w:numPr>
          <w:ilvl w:val="0"/>
          <w:numId w:val="6"/>
        </w:numPr>
        <w:jc w:val="both"/>
        <w:rPr>
          <w:sz w:val="24"/>
          <w:szCs w:val="24"/>
        </w:rPr>
      </w:pPr>
      <w:r w:rsidRPr="00C614CC">
        <w:rPr>
          <w:sz w:val="24"/>
          <w:szCs w:val="24"/>
        </w:rPr>
        <w:t>Профессиональное обучение проходили 86 безработных гражданина.</w:t>
      </w:r>
    </w:p>
    <w:p w:rsidR="0026042B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</w:p>
    <w:p w:rsidR="0026042B" w:rsidRPr="00784493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  <w:r w:rsidRPr="00784493">
        <w:rPr>
          <w:b/>
          <w:bCs/>
          <w:i/>
          <w:sz w:val="24"/>
          <w:szCs w:val="24"/>
        </w:rPr>
        <w:lastRenderedPageBreak/>
        <w:t>Уровень жизни населения</w:t>
      </w:r>
    </w:p>
    <w:p w:rsidR="0026042B" w:rsidRPr="00046BEB" w:rsidRDefault="0026042B" w:rsidP="0026042B">
      <w:pPr>
        <w:ind w:firstLine="567"/>
        <w:jc w:val="both"/>
        <w:rPr>
          <w:sz w:val="24"/>
          <w:szCs w:val="24"/>
        </w:rPr>
      </w:pPr>
      <w:r w:rsidRPr="00A87679">
        <w:rPr>
          <w:sz w:val="24"/>
          <w:szCs w:val="24"/>
        </w:rPr>
        <w:t xml:space="preserve">Среднемесячная заработная плата в Томском районе начиная с 2010 года выросла в </w:t>
      </w:r>
      <w:r>
        <w:rPr>
          <w:sz w:val="24"/>
          <w:szCs w:val="24"/>
        </w:rPr>
        <w:t>1,8</w:t>
      </w:r>
      <w:r w:rsidRPr="00A87679">
        <w:rPr>
          <w:sz w:val="24"/>
          <w:szCs w:val="24"/>
        </w:rPr>
        <w:t xml:space="preserve"> раза с 15,8 тыс. руб. до </w:t>
      </w:r>
      <w:r>
        <w:rPr>
          <w:sz w:val="24"/>
          <w:szCs w:val="24"/>
        </w:rPr>
        <w:t>28,9 тыс. руб.</w:t>
      </w:r>
      <w:r w:rsidRPr="00A87679">
        <w:rPr>
          <w:sz w:val="24"/>
          <w:szCs w:val="24"/>
        </w:rPr>
        <w:t xml:space="preserve"> </w:t>
      </w:r>
      <w:r w:rsidRPr="00046BEB">
        <w:rPr>
          <w:sz w:val="24"/>
          <w:szCs w:val="24"/>
        </w:rPr>
        <w:t>Заработная плата в Томском районе ежегодно увеличивается в среднем на 1</w:t>
      </w:r>
      <w:r>
        <w:rPr>
          <w:sz w:val="24"/>
          <w:szCs w:val="24"/>
        </w:rPr>
        <w:t>3</w:t>
      </w:r>
      <w:r w:rsidRPr="00046BEB">
        <w:rPr>
          <w:sz w:val="24"/>
          <w:szCs w:val="24"/>
        </w:rPr>
        <w:t xml:space="preserve">%, однако относительно показателя по Томской области остается ниже в среднем на </w:t>
      </w:r>
      <w:r>
        <w:rPr>
          <w:sz w:val="24"/>
          <w:szCs w:val="24"/>
        </w:rPr>
        <w:t>25</w:t>
      </w:r>
      <w:r w:rsidRPr="00046BEB">
        <w:rPr>
          <w:sz w:val="24"/>
          <w:szCs w:val="24"/>
        </w:rPr>
        <w:t>%</w:t>
      </w:r>
      <w:r>
        <w:rPr>
          <w:sz w:val="24"/>
          <w:szCs w:val="24"/>
        </w:rPr>
        <w:t xml:space="preserve"> (в Томской области данный показатель в 2015 году составил 33,3 тыс. руб.).</w:t>
      </w: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3823"/>
        <w:gridCol w:w="850"/>
        <w:gridCol w:w="850"/>
        <w:gridCol w:w="850"/>
        <w:gridCol w:w="850"/>
        <w:gridCol w:w="850"/>
        <w:gridCol w:w="850"/>
      </w:tblGrid>
      <w:tr w:rsidR="0026042B" w:rsidRPr="00046BEB" w:rsidTr="000D3B1E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 xml:space="preserve">2015 </w:t>
            </w:r>
          </w:p>
        </w:tc>
      </w:tr>
      <w:tr w:rsidR="0026042B" w:rsidRPr="00046BEB" w:rsidTr="000D3B1E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Средняя заработная плата</w:t>
            </w:r>
            <w:r>
              <w:rPr>
                <w:bCs/>
                <w:color w:val="000000"/>
              </w:rPr>
              <w:t xml:space="preserve"> в Томском районе</w:t>
            </w:r>
            <w:r w:rsidRPr="00046BEB">
              <w:rPr>
                <w:bCs/>
                <w:color w:val="000000"/>
              </w:rPr>
              <w:t>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046BEB" w:rsidRDefault="0026042B" w:rsidP="000D3B1E">
            <w:pPr>
              <w:rPr>
                <w:bCs/>
                <w:color w:val="000000"/>
              </w:rPr>
            </w:pPr>
            <w:r w:rsidRPr="00046BEB">
              <w:rPr>
                <w:bCs/>
                <w:color w:val="000000"/>
              </w:rPr>
              <w:t>28,9</w:t>
            </w:r>
          </w:p>
        </w:tc>
      </w:tr>
      <w:tr w:rsidR="0026042B" w:rsidRPr="00046BEB" w:rsidTr="000D3B1E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 w:rsidRPr="00046BEB">
              <w:rPr>
                <w:i/>
                <w:iCs/>
                <w:color w:val="000000"/>
              </w:rPr>
              <w:t>Рост,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 w:rsidRPr="00046BEB">
              <w:rPr>
                <w:i/>
                <w:iCs/>
                <w:color w:val="000000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 w:rsidRPr="00046BEB">
              <w:rPr>
                <w:i/>
                <w:iCs/>
                <w:color w:val="000000"/>
              </w:rPr>
              <w:t>117,6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 w:rsidRPr="00046BEB">
              <w:rPr>
                <w:i/>
                <w:iCs/>
                <w:color w:val="000000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 w:rsidRPr="00046BEB">
              <w:rPr>
                <w:i/>
                <w:iCs/>
                <w:color w:val="000000"/>
              </w:rP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046BEB" w:rsidRDefault="0026042B" w:rsidP="000D3B1E">
            <w:pPr>
              <w:rPr>
                <w:i/>
                <w:iCs/>
                <w:color w:val="000000"/>
              </w:rPr>
            </w:pPr>
            <w:r w:rsidRPr="00046BEB">
              <w:rPr>
                <w:i/>
                <w:iCs/>
                <w:color w:val="000000"/>
              </w:rPr>
              <w:t>103,6</w:t>
            </w:r>
          </w:p>
        </w:tc>
      </w:tr>
    </w:tbl>
    <w:p w:rsidR="0026042B" w:rsidRDefault="0026042B" w:rsidP="0026042B">
      <w:pPr>
        <w:jc w:val="both"/>
        <w:rPr>
          <w:sz w:val="24"/>
          <w:szCs w:val="24"/>
        </w:rPr>
      </w:pPr>
      <w:r w:rsidRPr="00F45FD8">
        <w:rPr>
          <w:rFonts w:cs="Arial"/>
          <w:iCs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</w:p>
    <w:p w:rsidR="0026042B" w:rsidRDefault="001338A4" w:rsidP="0026042B">
      <w:pPr>
        <w:jc w:val="center"/>
        <w:rPr>
          <w:sz w:val="24"/>
          <w:szCs w:val="24"/>
        </w:rPr>
      </w:pPr>
      <w:r w:rsidRPr="0096405B">
        <w:rPr>
          <w:noProof/>
        </w:rPr>
        <w:drawing>
          <wp:inline distT="0" distB="0" distL="0" distR="0">
            <wp:extent cx="6164580" cy="403860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042B" w:rsidRDefault="0026042B" w:rsidP="0026042B">
      <w:pPr>
        <w:ind w:firstLine="567"/>
        <w:jc w:val="both"/>
      </w:pPr>
      <w:r w:rsidRPr="00F45FD8">
        <w:rPr>
          <w:sz w:val="24"/>
          <w:szCs w:val="24"/>
        </w:rPr>
        <w:t xml:space="preserve">Наиболее высокая заработная плата </w:t>
      </w:r>
      <w:r>
        <w:rPr>
          <w:sz w:val="24"/>
          <w:szCs w:val="24"/>
        </w:rPr>
        <w:t xml:space="preserve">в 2015 году сложилась </w:t>
      </w:r>
      <w:r w:rsidRPr="00F45FD8">
        <w:rPr>
          <w:sz w:val="24"/>
          <w:szCs w:val="24"/>
        </w:rPr>
        <w:t xml:space="preserve">в деятельности </w:t>
      </w:r>
      <w:r>
        <w:rPr>
          <w:sz w:val="24"/>
          <w:szCs w:val="24"/>
        </w:rPr>
        <w:t>оптовой торговли</w:t>
      </w:r>
      <w:r w:rsidRPr="00F45FD8">
        <w:rPr>
          <w:sz w:val="24"/>
          <w:szCs w:val="24"/>
        </w:rPr>
        <w:t xml:space="preserve"> – </w:t>
      </w:r>
      <w:r w:rsidRPr="00F45FD8">
        <w:rPr>
          <w:rFonts w:cs="Arial"/>
          <w:bCs/>
          <w:color w:val="000000"/>
          <w:sz w:val="24"/>
          <w:szCs w:val="24"/>
        </w:rPr>
        <w:t>3</w:t>
      </w:r>
      <w:r>
        <w:rPr>
          <w:rFonts w:cs="Arial"/>
          <w:bCs/>
          <w:color w:val="000000"/>
          <w:sz w:val="24"/>
          <w:szCs w:val="24"/>
        </w:rPr>
        <w:t>6</w:t>
      </w:r>
      <w:r w:rsidRPr="00F45FD8">
        <w:rPr>
          <w:rFonts w:cs="Arial"/>
          <w:bCs/>
          <w:color w:val="000000"/>
          <w:sz w:val="24"/>
          <w:szCs w:val="24"/>
        </w:rPr>
        <w:t>,</w:t>
      </w:r>
      <w:r>
        <w:rPr>
          <w:rFonts w:cs="Arial"/>
          <w:bCs/>
          <w:color w:val="000000"/>
          <w:sz w:val="24"/>
          <w:szCs w:val="24"/>
        </w:rPr>
        <w:t>9</w:t>
      </w:r>
      <w:r w:rsidRPr="00F45FD8">
        <w:rPr>
          <w:rFonts w:cs="Arial"/>
          <w:bCs/>
          <w:color w:val="000000"/>
          <w:sz w:val="24"/>
          <w:szCs w:val="24"/>
        </w:rPr>
        <w:t xml:space="preserve"> тыс.</w:t>
      </w:r>
      <w:r w:rsidRPr="00F45FD8">
        <w:rPr>
          <w:rFonts w:cs="Arial"/>
          <w:bCs/>
          <w:sz w:val="24"/>
          <w:szCs w:val="24"/>
        </w:rPr>
        <w:t xml:space="preserve"> </w:t>
      </w:r>
      <w:r w:rsidRPr="00F45FD8">
        <w:rPr>
          <w:sz w:val="24"/>
          <w:szCs w:val="24"/>
        </w:rPr>
        <w:t xml:space="preserve">руб., наиболее низкая заработная плата в </w:t>
      </w:r>
      <w:r>
        <w:rPr>
          <w:sz w:val="24"/>
          <w:szCs w:val="24"/>
        </w:rPr>
        <w:t>сфере сбора, очистки и распределения воды</w:t>
      </w:r>
      <w:r w:rsidRPr="00F45FD8">
        <w:rPr>
          <w:sz w:val="24"/>
          <w:szCs w:val="24"/>
        </w:rPr>
        <w:t xml:space="preserve"> – </w:t>
      </w:r>
      <w:r w:rsidRPr="00F45FD8">
        <w:rPr>
          <w:rFonts w:cs="Arial"/>
          <w:bCs/>
          <w:color w:val="000000"/>
          <w:sz w:val="24"/>
          <w:szCs w:val="24"/>
        </w:rPr>
        <w:t>18,</w:t>
      </w:r>
      <w:r>
        <w:rPr>
          <w:rFonts w:cs="Arial"/>
          <w:bCs/>
          <w:color w:val="000000"/>
          <w:sz w:val="24"/>
          <w:szCs w:val="24"/>
        </w:rPr>
        <w:t>8</w:t>
      </w:r>
      <w:r w:rsidRPr="00F45FD8">
        <w:rPr>
          <w:rFonts w:cs="Arial"/>
          <w:bCs/>
          <w:color w:val="000000"/>
          <w:sz w:val="24"/>
          <w:szCs w:val="24"/>
        </w:rPr>
        <w:t xml:space="preserve"> тыс.</w:t>
      </w:r>
      <w:r w:rsidRPr="00F45FD8">
        <w:rPr>
          <w:rFonts w:cs="Arial"/>
          <w:bCs/>
          <w:sz w:val="24"/>
          <w:szCs w:val="24"/>
        </w:rPr>
        <w:t xml:space="preserve"> </w:t>
      </w:r>
      <w:r w:rsidRPr="00F45FD8">
        <w:rPr>
          <w:sz w:val="24"/>
          <w:szCs w:val="24"/>
        </w:rPr>
        <w:t>руб</w:t>
      </w:r>
      <w:r>
        <w:t>.</w:t>
      </w:r>
    </w:p>
    <w:p w:rsidR="0026042B" w:rsidRPr="00A6220C" w:rsidRDefault="0026042B" w:rsidP="002604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C2E08">
        <w:rPr>
          <w:sz w:val="24"/>
          <w:szCs w:val="24"/>
        </w:rPr>
        <w:t>Согласно данным Управления Пенсионного фонда РФ в Томском районе Томской области</w:t>
      </w:r>
      <w:r>
        <w:rPr>
          <w:sz w:val="24"/>
          <w:szCs w:val="24"/>
        </w:rPr>
        <w:t xml:space="preserve">       с</w:t>
      </w:r>
      <w:r w:rsidRPr="000C2E08">
        <w:rPr>
          <w:sz w:val="24"/>
          <w:szCs w:val="24"/>
        </w:rPr>
        <w:t>редний размер пенсии в 2015 году составил 11,4 тыс. руб., что к уровню 2014 года составляет 111% (в 2014 году – 10,3 тыс. руб.).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доходов населения оказывает влияние на потребление, в частности оборот розничной торговли по крупным и средним предприятиям увеличился с 50,1 млн. руб. в 2010 г. до 464,3 млн. руб. в 2015 г. Следует отметить, что данный показатель значительно ниже уровня 2014 г. на 44%, в связи со сложной экономической ситуацией в стране.</w:t>
      </w:r>
    </w:p>
    <w:p w:rsidR="0026042B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</w:p>
    <w:p w:rsidR="0026042B" w:rsidRPr="00784493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  <w:r w:rsidRPr="00784493">
        <w:rPr>
          <w:b/>
          <w:bCs/>
          <w:i/>
          <w:sz w:val="24"/>
          <w:szCs w:val="24"/>
        </w:rPr>
        <w:t>Промышленное производство</w:t>
      </w:r>
    </w:p>
    <w:p w:rsidR="0026042B" w:rsidRPr="00812288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6 лет объем промышленного производства вырос в 2,3 раза, с 6,4 млрд. руб. в 2010 году до 14,7 млрд. руб. в 2015 году. Ежегодный рост за указанный период составил в среднем 120%. Доля данного показателя в общем объеме промышленного производства Томской области (345,4 млрд. руб.) в 2015 году составила 4,3%.</w:t>
      </w:r>
    </w:p>
    <w:tbl>
      <w:tblPr>
        <w:tblW w:w="8766" w:type="dxa"/>
        <w:jc w:val="center"/>
        <w:tblLook w:val="04A0" w:firstRow="1" w:lastRow="0" w:firstColumn="1" w:lastColumn="0" w:noHBand="0" w:noVBand="1"/>
      </w:tblPr>
      <w:tblGrid>
        <w:gridCol w:w="3684"/>
        <w:gridCol w:w="847"/>
        <w:gridCol w:w="847"/>
        <w:gridCol w:w="847"/>
        <w:gridCol w:w="847"/>
        <w:gridCol w:w="847"/>
        <w:gridCol w:w="847"/>
      </w:tblGrid>
      <w:tr w:rsidR="0026042B" w:rsidRPr="008C4195" w:rsidTr="000D3B1E">
        <w:trPr>
          <w:trHeight w:val="315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2013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 xml:space="preserve">2014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B31FC8" w:rsidRDefault="0026042B" w:rsidP="000D3B1E">
            <w:pPr>
              <w:jc w:val="center"/>
              <w:rPr>
                <w:bCs/>
                <w:color w:val="000000"/>
              </w:rPr>
            </w:pPr>
            <w:r w:rsidRPr="00B31FC8">
              <w:rPr>
                <w:bCs/>
                <w:color w:val="000000"/>
              </w:rPr>
              <w:t xml:space="preserve">2015 </w:t>
            </w:r>
          </w:p>
        </w:tc>
      </w:tr>
      <w:tr w:rsidR="0026042B" w:rsidRPr="008C4195" w:rsidTr="000D3B1E">
        <w:trPr>
          <w:trHeight w:val="315"/>
          <w:jc w:val="center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F165D1" w:rsidRDefault="0026042B" w:rsidP="000D3B1E">
            <w:pPr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Объем промышленного производства, млрд. руб.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6,5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11,8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12,1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color w:val="000000"/>
              </w:rPr>
            </w:pPr>
            <w:r w:rsidRPr="00F165D1">
              <w:rPr>
                <w:bCs/>
                <w:color w:val="000000"/>
              </w:rPr>
              <w:t>11,9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B31FC8" w:rsidRDefault="0026042B" w:rsidP="000D3B1E">
            <w:pPr>
              <w:jc w:val="center"/>
              <w:rPr>
                <w:bCs/>
                <w:color w:val="000000"/>
              </w:rPr>
            </w:pPr>
            <w:r w:rsidRPr="00B31FC8">
              <w:rPr>
                <w:bCs/>
                <w:color w:val="000000"/>
              </w:rPr>
              <w:t>14,7</w:t>
            </w:r>
          </w:p>
        </w:tc>
      </w:tr>
      <w:tr w:rsidR="0026042B" w:rsidRPr="008C4195" w:rsidTr="000D3B1E">
        <w:trPr>
          <w:trHeight w:val="315"/>
          <w:jc w:val="center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F165D1" w:rsidRDefault="0026042B" w:rsidP="000D3B1E">
            <w:pPr>
              <w:rPr>
                <w:bCs/>
                <w:i/>
                <w:color w:val="000000"/>
              </w:rPr>
            </w:pPr>
            <w:r w:rsidRPr="00F165D1">
              <w:rPr>
                <w:bCs/>
                <w:i/>
                <w:color w:val="000000"/>
              </w:rPr>
              <w:t>Рост, 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i/>
                <w:color w:val="000000"/>
              </w:rPr>
            </w:pPr>
            <w:r w:rsidRPr="00F165D1">
              <w:rPr>
                <w:bCs/>
                <w:i/>
                <w:color w:val="000000"/>
              </w:rPr>
              <w:t>113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i/>
                <w:color w:val="000000"/>
              </w:rPr>
            </w:pPr>
            <w:r w:rsidRPr="00F165D1">
              <w:rPr>
                <w:bCs/>
                <w:i/>
                <w:color w:val="000000"/>
              </w:rPr>
              <w:t>102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i/>
                <w:color w:val="000000"/>
              </w:rPr>
            </w:pPr>
            <w:r w:rsidRPr="00F165D1">
              <w:rPr>
                <w:bCs/>
                <w:i/>
                <w:color w:val="000000"/>
              </w:rPr>
              <w:t>181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i/>
                <w:color w:val="000000"/>
              </w:rPr>
            </w:pPr>
            <w:r w:rsidRPr="00F165D1">
              <w:rPr>
                <w:bCs/>
                <w:i/>
                <w:color w:val="000000"/>
              </w:rPr>
              <w:t>103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F165D1" w:rsidRDefault="0026042B" w:rsidP="000D3B1E">
            <w:pPr>
              <w:jc w:val="center"/>
              <w:rPr>
                <w:bCs/>
                <w:i/>
                <w:color w:val="000000"/>
              </w:rPr>
            </w:pPr>
            <w:r w:rsidRPr="00F165D1">
              <w:rPr>
                <w:bCs/>
                <w:i/>
                <w:color w:val="000000"/>
              </w:rPr>
              <w:t>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B31FC8" w:rsidRDefault="0026042B" w:rsidP="000D3B1E">
            <w:pPr>
              <w:jc w:val="center"/>
              <w:rPr>
                <w:bCs/>
                <w:i/>
                <w:color w:val="000000"/>
              </w:rPr>
            </w:pPr>
            <w:r w:rsidRPr="00B31FC8">
              <w:rPr>
                <w:bCs/>
                <w:i/>
                <w:color w:val="000000"/>
              </w:rPr>
              <w:t>127,5</w:t>
            </w:r>
          </w:p>
        </w:tc>
      </w:tr>
    </w:tbl>
    <w:p w:rsidR="0026042B" w:rsidRDefault="001338A4" w:rsidP="0026042B">
      <w:pPr>
        <w:ind w:firstLine="567"/>
        <w:jc w:val="center"/>
        <w:rPr>
          <w:bCs/>
          <w:i/>
          <w:sz w:val="24"/>
          <w:szCs w:val="24"/>
        </w:rPr>
      </w:pPr>
      <w:r w:rsidRPr="0096405B">
        <w:rPr>
          <w:noProof/>
        </w:rPr>
        <w:lastRenderedPageBreak/>
        <w:drawing>
          <wp:inline distT="0" distB="0" distL="0" distR="0">
            <wp:extent cx="5600700" cy="262128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042B" w:rsidRPr="00BB050C" w:rsidRDefault="0026042B" w:rsidP="0026042B">
      <w:pPr>
        <w:ind w:firstLine="567"/>
        <w:jc w:val="center"/>
        <w:rPr>
          <w:bCs/>
          <w:i/>
          <w:sz w:val="24"/>
          <w:szCs w:val="24"/>
        </w:rPr>
      </w:pPr>
    </w:p>
    <w:p w:rsidR="0026042B" w:rsidRPr="00784493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  <w:r w:rsidRPr="00784493">
        <w:rPr>
          <w:b/>
          <w:bCs/>
          <w:i/>
          <w:sz w:val="24"/>
          <w:szCs w:val="24"/>
        </w:rPr>
        <w:t>Сельское хозяйство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  <w:r w:rsidRPr="00091297">
        <w:rPr>
          <w:sz w:val="24"/>
          <w:szCs w:val="24"/>
        </w:rPr>
        <w:t xml:space="preserve">По итогам 2015 года ожидается объем сельскохозяйственного </w:t>
      </w:r>
      <w:r>
        <w:rPr>
          <w:sz w:val="24"/>
          <w:szCs w:val="24"/>
        </w:rPr>
        <w:t>производства в размере 11 745,0 млн. руб., тогда как</w:t>
      </w:r>
      <w:r w:rsidRPr="00B00E2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145E1">
        <w:rPr>
          <w:sz w:val="24"/>
          <w:szCs w:val="24"/>
        </w:rPr>
        <w:t xml:space="preserve"> 2014 году объем сельскохозяйственного производства составил 1</w:t>
      </w:r>
      <w:r>
        <w:rPr>
          <w:sz w:val="24"/>
          <w:szCs w:val="24"/>
        </w:rPr>
        <w:t>1</w:t>
      </w:r>
      <w:r w:rsidRPr="009145E1">
        <w:rPr>
          <w:sz w:val="24"/>
          <w:szCs w:val="24"/>
        </w:rPr>
        <w:t xml:space="preserve"> </w:t>
      </w:r>
      <w:r>
        <w:rPr>
          <w:sz w:val="24"/>
          <w:szCs w:val="24"/>
        </w:rPr>
        <w:t>668</w:t>
      </w:r>
      <w:r w:rsidRPr="009145E1">
        <w:rPr>
          <w:sz w:val="24"/>
          <w:szCs w:val="24"/>
        </w:rPr>
        <w:t xml:space="preserve"> млн. руб., за </w:t>
      </w:r>
      <w:r>
        <w:rPr>
          <w:sz w:val="24"/>
          <w:szCs w:val="24"/>
        </w:rPr>
        <w:t>пять лет</w:t>
      </w:r>
      <w:r w:rsidRPr="009145E1">
        <w:rPr>
          <w:sz w:val="24"/>
          <w:szCs w:val="24"/>
        </w:rPr>
        <w:t xml:space="preserve"> рост составил </w:t>
      </w:r>
      <w:r>
        <w:rPr>
          <w:sz w:val="24"/>
          <w:szCs w:val="24"/>
        </w:rPr>
        <w:t>133,4</w:t>
      </w:r>
      <w:r w:rsidRPr="009145E1">
        <w:rPr>
          <w:sz w:val="24"/>
          <w:szCs w:val="24"/>
        </w:rPr>
        <w:t xml:space="preserve">%. Основные объемы реализованной сельскохозяйственной продукции </w:t>
      </w:r>
      <w:r>
        <w:rPr>
          <w:sz w:val="24"/>
          <w:szCs w:val="24"/>
        </w:rPr>
        <w:t xml:space="preserve">обеспечены </w:t>
      </w:r>
      <w:r w:rsidRPr="009145E1">
        <w:rPr>
          <w:sz w:val="24"/>
          <w:szCs w:val="24"/>
        </w:rPr>
        <w:t>за счет крупных сельскохозяйственных комплексов</w:t>
      </w:r>
      <w:r>
        <w:rPr>
          <w:sz w:val="24"/>
          <w:szCs w:val="24"/>
        </w:rPr>
        <w:t xml:space="preserve"> -</w:t>
      </w:r>
      <w:r w:rsidRPr="009145E1">
        <w:rPr>
          <w:sz w:val="24"/>
          <w:szCs w:val="24"/>
        </w:rPr>
        <w:t xml:space="preserve"> ООО «Межениновская птицефабрика», предприятия Аграрной группы, тепличный комбинат ООО «Трубачево». 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перспективе планируется дальнейший рост объёмов </w:t>
      </w:r>
      <w:r w:rsidRPr="009145E1">
        <w:rPr>
          <w:sz w:val="24"/>
          <w:szCs w:val="24"/>
        </w:rPr>
        <w:t xml:space="preserve">производства за счет </w:t>
      </w:r>
      <w:r>
        <w:rPr>
          <w:sz w:val="24"/>
          <w:szCs w:val="24"/>
        </w:rPr>
        <w:t>ввода новых крупных животноводческих комплексов с использованием государственной поддержки.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1097"/>
        <w:gridCol w:w="950"/>
        <w:gridCol w:w="847"/>
        <w:gridCol w:w="948"/>
        <w:gridCol w:w="1006"/>
        <w:gridCol w:w="1122"/>
        <w:gridCol w:w="921"/>
      </w:tblGrid>
      <w:tr w:rsidR="0026042B" w:rsidRPr="00C1234D" w:rsidTr="00C767BE">
        <w:trPr>
          <w:trHeight w:val="503"/>
          <w:jc w:val="center"/>
        </w:trPr>
        <w:tc>
          <w:tcPr>
            <w:tcW w:w="3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2B" w:rsidRPr="00C1234D" w:rsidRDefault="0026042B" w:rsidP="000D3B1E"/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42B" w:rsidRPr="00C1234D" w:rsidRDefault="0026042B" w:rsidP="000D3B1E">
            <w:pPr>
              <w:jc w:val="center"/>
            </w:pPr>
            <w: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2B" w:rsidRPr="00C1234D" w:rsidRDefault="0026042B" w:rsidP="000D3B1E">
            <w:pPr>
              <w:jc w:val="center"/>
            </w:pPr>
            <w:r w:rsidRPr="00C1234D">
              <w:t xml:space="preserve">2011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 xml:space="preserve">2012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 xml:space="preserve">2013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 xml:space="preserve">2014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2B" w:rsidRPr="00C1234D" w:rsidRDefault="0026042B" w:rsidP="000D3B1E">
            <w:pPr>
              <w:jc w:val="center"/>
            </w:pPr>
            <w:r>
              <w:t>2015</w:t>
            </w:r>
          </w:p>
        </w:tc>
      </w:tr>
      <w:tr w:rsidR="0026042B" w:rsidRPr="00C1234D" w:rsidTr="00C767BE">
        <w:trPr>
          <w:trHeight w:val="70"/>
          <w:jc w:val="center"/>
        </w:trPr>
        <w:tc>
          <w:tcPr>
            <w:tcW w:w="3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2B" w:rsidRPr="00C1234D" w:rsidRDefault="0026042B" w:rsidP="000D3B1E">
            <w:r w:rsidRPr="00C1234D">
              <w:t>Продукция сельскохозяйственных организаций: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42B" w:rsidRPr="00C1234D" w:rsidRDefault="0026042B" w:rsidP="000D3B1E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42B" w:rsidRPr="00C1234D" w:rsidRDefault="0026042B" w:rsidP="000D3B1E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2B" w:rsidRPr="00C1234D" w:rsidRDefault="0026042B" w:rsidP="000D3B1E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42B" w:rsidRPr="00C1234D" w:rsidRDefault="0026042B" w:rsidP="000D3B1E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42B" w:rsidRPr="00C1234D" w:rsidRDefault="0026042B" w:rsidP="000D3B1E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42B" w:rsidRPr="00C1234D" w:rsidRDefault="0026042B" w:rsidP="000D3B1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1234D" w:rsidRDefault="0026042B" w:rsidP="000D3B1E">
            <w:pPr>
              <w:jc w:val="center"/>
            </w:pPr>
          </w:p>
        </w:tc>
      </w:tr>
      <w:tr w:rsidR="0026042B" w:rsidRPr="00C1234D" w:rsidTr="00C767BE">
        <w:trPr>
          <w:trHeight w:val="255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2B" w:rsidRPr="00C1234D" w:rsidRDefault="0026042B" w:rsidP="000D3B1E">
            <w:r w:rsidRPr="00C1234D">
              <w:t>- в действующих ценах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>млн. руб.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042B" w:rsidRPr="00C1234D" w:rsidRDefault="0026042B" w:rsidP="000D3B1E">
            <w:pPr>
              <w:jc w:val="right"/>
            </w:pPr>
            <w:r>
              <w:t>6 582,0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C1234D" w:rsidRDefault="0026042B" w:rsidP="000D3B1E">
            <w:pPr>
              <w:jc w:val="right"/>
            </w:pPr>
            <w:r w:rsidRPr="00C1234D">
              <w:t>7 563,9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7 890,0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8 012,0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>
              <w:t>10 048,0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1234D" w:rsidRDefault="0026042B" w:rsidP="000D3B1E">
            <w:pPr>
              <w:jc w:val="right"/>
            </w:pPr>
            <w:r>
              <w:t>10 100,0</w:t>
            </w:r>
          </w:p>
        </w:tc>
      </w:tr>
      <w:tr w:rsidR="0026042B" w:rsidRPr="00C1234D" w:rsidTr="00C767BE">
        <w:trPr>
          <w:trHeight w:val="70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2B" w:rsidRPr="00C1234D" w:rsidRDefault="0026042B" w:rsidP="000D3B1E">
            <w:r w:rsidRPr="00C1234D">
              <w:t>Продукция крестьянских (фермерских) хозяйств: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042B" w:rsidRPr="00C1234D" w:rsidRDefault="0026042B" w:rsidP="000D3B1E">
            <w:pPr>
              <w:jc w:val="right"/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1234D" w:rsidRDefault="0026042B" w:rsidP="000D3B1E">
            <w:pPr>
              <w:jc w:val="right"/>
            </w:pPr>
          </w:p>
        </w:tc>
      </w:tr>
      <w:tr w:rsidR="0026042B" w:rsidRPr="00C1234D" w:rsidTr="00C767BE">
        <w:trPr>
          <w:trHeight w:val="255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2B" w:rsidRPr="00C1234D" w:rsidRDefault="0026042B" w:rsidP="000D3B1E">
            <w:r w:rsidRPr="00C1234D">
              <w:t>- в действующих ценах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>млн. руб.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042B" w:rsidRPr="00C1234D" w:rsidRDefault="0026042B" w:rsidP="000D3B1E">
            <w:pPr>
              <w:jc w:val="right"/>
            </w:pPr>
            <w:r>
              <w:t>260,6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C1234D" w:rsidRDefault="0026042B" w:rsidP="000D3B1E">
            <w:pPr>
              <w:jc w:val="right"/>
            </w:pPr>
            <w:r w:rsidRPr="00C1234D">
              <w:t>114,5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132,6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136,0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>
              <w:t>143</w:t>
            </w:r>
            <w:r w:rsidRPr="00C1234D"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1234D" w:rsidRDefault="0026042B" w:rsidP="000D3B1E">
            <w:pPr>
              <w:jc w:val="right"/>
            </w:pPr>
            <w:r>
              <w:t>145,0</w:t>
            </w:r>
          </w:p>
        </w:tc>
      </w:tr>
      <w:tr w:rsidR="0026042B" w:rsidRPr="00C1234D" w:rsidTr="00C767BE">
        <w:trPr>
          <w:trHeight w:val="70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2B" w:rsidRPr="00C1234D" w:rsidRDefault="0026042B" w:rsidP="000D3B1E">
            <w:r w:rsidRPr="00C1234D">
              <w:t xml:space="preserve">Продукция в хозяйствах населения: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042B" w:rsidRPr="00C1234D" w:rsidRDefault="0026042B" w:rsidP="000D3B1E">
            <w:pPr>
              <w:jc w:val="right"/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1234D" w:rsidRDefault="0026042B" w:rsidP="000D3B1E">
            <w:pPr>
              <w:jc w:val="right"/>
            </w:pPr>
          </w:p>
        </w:tc>
      </w:tr>
      <w:tr w:rsidR="0026042B" w:rsidRPr="00C1234D" w:rsidTr="00C767BE">
        <w:trPr>
          <w:trHeight w:val="70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2B" w:rsidRPr="00C1234D" w:rsidRDefault="0026042B" w:rsidP="000D3B1E">
            <w:r w:rsidRPr="00C1234D">
              <w:t>- в действующих ценах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</w:pPr>
            <w:r w:rsidRPr="00C1234D">
              <w:t>млн. руб.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042B" w:rsidRPr="00C1234D" w:rsidRDefault="0026042B" w:rsidP="000D3B1E">
            <w:pPr>
              <w:jc w:val="right"/>
            </w:pPr>
            <w:r>
              <w:t>1 902,1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C1234D" w:rsidRDefault="0026042B" w:rsidP="000D3B1E">
            <w:pPr>
              <w:jc w:val="right"/>
            </w:pPr>
            <w:r w:rsidRPr="00C1234D">
              <w:t>2 122,0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1 288,0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>1 407,0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2B" w:rsidRPr="00C1234D" w:rsidRDefault="0026042B" w:rsidP="000D3B1E">
            <w:pPr>
              <w:jc w:val="right"/>
            </w:pPr>
            <w:r w:rsidRPr="00C1234D">
              <w:t xml:space="preserve">1 </w:t>
            </w:r>
            <w:r>
              <w:t>477</w:t>
            </w:r>
            <w:r w:rsidRPr="00C1234D"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Pr="00C1234D" w:rsidRDefault="0026042B" w:rsidP="000D3B1E">
            <w:pPr>
              <w:jc w:val="right"/>
            </w:pPr>
            <w:r>
              <w:t>1 500,0</w:t>
            </w:r>
          </w:p>
        </w:tc>
      </w:tr>
      <w:tr w:rsidR="0026042B" w:rsidRPr="00C1234D" w:rsidTr="00C767BE">
        <w:trPr>
          <w:trHeight w:val="192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C1234D" w:rsidRDefault="0026042B" w:rsidP="000D3B1E">
            <w:pPr>
              <w:rPr>
                <w:b/>
              </w:rPr>
            </w:pPr>
            <w:r w:rsidRPr="00C1234D">
              <w:rPr>
                <w:b/>
              </w:rPr>
              <w:t>ИТОГО сельскохозяйственной продукции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Pr="00C1234D" w:rsidRDefault="0026042B" w:rsidP="000D3B1E">
            <w:pPr>
              <w:jc w:val="center"/>
              <w:rPr>
                <w:b/>
              </w:rPr>
            </w:pPr>
            <w:r w:rsidRPr="00C1234D">
              <w:rPr>
                <w:b/>
              </w:rPr>
              <w:t>млн. руб.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2B" w:rsidRDefault="0026042B" w:rsidP="000D3B1E">
            <w:pPr>
              <w:jc w:val="center"/>
              <w:rPr>
                <w:b/>
              </w:rPr>
            </w:pPr>
          </w:p>
          <w:p w:rsidR="0026042B" w:rsidRPr="00C1234D" w:rsidRDefault="0026042B" w:rsidP="000D3B1E">
            <w:pPr>
              <w:jc w:val="center"/>
              <w:rPr>
                <w:b/>
              </w:rPr>
            </w:pPr>
            <w:r>
              <w:rPr>
                <w:b/>
              </w:rPr>
              <w:t>8 744,7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Default="0026042B" w:rsidP="000D3B1E">
            <w:pPr>
              <w:jc w:val="center"/>
              <w:rPr>
                <w:b/>
              </w:rPr>
            </w:pPr>
          </w:p>
          <w:p w:rsidR="0026042B" w:rsidRPr="00C1234D" w:rsidRDefault="0026042B" w:rsidP="000D3B1E">
            <w:pPr>
              <w:jc w:val="center"/>
              <w:rPr>
                <w:b/>
              </w:rPr>
            </w:pPr>
            <w:r w:rsidRPr="00C1234D">
              <w:rPr>
                <w:b/>
              </w:rPr>
              <w:t>9 800,3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Default="0026042B" w:rsidP="000D3B1E">
            <w:pPr>
              <w:jc w:val="center"/>
              <w:rPr>
                <w:b/>
              </w:rPr>
            </w:pPr>
          </w:p>
          <w:p w:rsidR="0026042B" w:rsidRPr="00C1234D" w:rsidRDefault="0026042B" w:rsidP="000D3B1E">
            <w:pPr>
              <w:jc w:val="center"/>
              <w:rPr>
                <w:b/>
              </w:rPr>
            </w:pPr>
            <w:r w:rsidRPr="00C1234D">
              <w:rPr>
                <w:b/>
              </w:rPr>
              <w:t>9 310,6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Default="0026042B" w:rsidP="000D3B1E">
            <w:pPr>
              <w:jc w:val="right"/>
              <w:rPr>
                <w:b/>
              </w:rPr>
            </w:pPr>
          </w:p>
          <w:p w:rsidR="0026042B" w:rsidRPr="00C1234D" w:rsidRDefault="0026042B" w:rsidP="000D3B1E">
            <w:pPr>
              <w:jc w:val="right"/>
              <w:rPr>
                <w:b/>
              </w:rPr>
            </w:pPr>
            <w:r w:rsidRPr="00C1234D">
              <w:rPr>
                <w:b/>
              </w:rPr>
              <w:t> 9 555,0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2B" w:rsidRDefault="0026042B" w:rsidP="000D3B1E">
            <w:pPr>
              <w:jc w:val="right"/>
              <w:rPr>
                <w:b/>
              </w:rPr>
            </w:pPr>
          </w:p>
          <w:p w:rsidR="0026042B" w:rsidRPr="00C1234D" w:rsidRDefault="0026042B" w:rsidP="000D3B1E">
            <w:pPr>
              <w:jc w:val="right"/>
              <w:rPr>
                <w:b/>
              </w:rPr>
            </w:pPr>
            <w:r w:rsidRPr="00C1234D">
              <w:rPr>
                <w:b/>
              </w:rPr>
              <w:t> </w:t>
            </w:r>
            <w:r>
              <w:rPr>
                <w:b/>
              </w:rPr>
              <w:t>11 668,0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42B" w:rsidRDefault="0026042B" w:rsidP="000D3B1E">
            <w:pPr>
              <w:jc w:val="right"/>
              <w:rPr>
                <w:b/>
              </w:rPr>
            </w:pPr>
          </w:p>
          <w:p w:rsidR="0026042B" w:rsidRPr="00C1234D" w:rsidRDefault="0026042B" w:rsidP="000D3B1E">
            <w:pPr>
              <w:jc w:val="right"/>
              <w:rPr>
                <w:b/>
              </w:rPr>
            </w:pPr>
            <w:r>
              <w:rPr>
                <w:b/>
              </w:rPr>
              <w:t>11 745,0</w:t>
            </w:r>
          </w:p>
        </w:tc>
      </w:tr>
    </w:tbl>
    <w:p w:rsidR="0026042B" w:rsidRPr="00BB050C" w:rsidRDefault="0026042B" w:rsidP="0026042B">
      <w:pPr>
        <w:ind w:firstLine="567"/>
        <w:jc w:val="center"/>
        <w:rPr>
          <w:bCs/>
          <w:i/>
          <w:sz w:val="24"/>
          <w:szCs w:val="24"/>
        </w:rPr>
      </w:pPr>
    </w:p>
    <w:p w:rsidR="0026042B" w:rsidRPr="00A9641A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  <w:r w:rsidRPr="00A9641A">
        <w:rPr>
          <w:b/>
          <w:bCs/>
          <w:i/>
          <w:sz w:val="24"/>
          <w:szCs w:val="24"/>
        </w:rPr>
        <w:t>Инвестиции в основной капитал крупных организаций</w:t>
      </w:r>
    </w:p>
    <w:p w:rsidR="0026042B" w:rsidRDefault="0026042B" w:rsidP="0026042B">
      <w:pPr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         </w:t>
      </w:r>
      <w:r w:rsidRPr="009C50E7">
        <w:rPr>
          <w:sz w:val="24"/>
          <w:szCs w:val="24"/>
        </w:rPr>
        <w:t>Объем инвестиций в основной капитал экономики крупных организаций района в 2015 год</w:t>
      </w:r>
      <w:r>
        <w:rPr>
          <w:sz w:val="24"/>
          <w:szCs w:val="24"/>
        </w:rPr>
        <w:t>у</w:t>
      </w:r>
      <w:r w:rsidRPr="009C5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снизился к уровню </w:t>
      </w:r>
      <w:r w:rsidRPr="00EB4C44">
        <w:rPr>
          <w:sz w:val="24"/>
          <w:szCs w:val="24"/>
        </w:rPr>
        <w:t>2014 года</w:t>
      </w:r>
      <w:r>
        <w:rPr>
          <w:sz w:val="24"/>
          <w:szCs w:val="24"/>
        </w:rPr>
        <w:t xml:space="preserve"> на 34,3% и</w:t>
      </w:r>
      <w:r w:rsidRPr="009C50E7">
        <w:rPr>
          <w:sz w:val="24"/>
          <w:szCs w:val="24"/>
        </w:rPr>
        <w:t xml:space="preserve"> составил </w:t>
      </w:r>
      <w:r>
        <w:rPr>
          <w:sz w:val="24"/>
          <w:szCs w:val="24"/>
        </w:rPr>
        <w:t>1257,1</w:t>
      </w:r>
      <w:r w:rsidRPr="009C50E7">
        <w:rPr>
          <w:sz w:val="24"/>
          <w:szCs w:val="24"/>
        </w:rPr>
        <w:t xml:space="preserve"> млн. руб.</w:t>
      </w:r>
      <w:r w:rsidRPr="00EB4C44">
        <w:rPr>
          <w:sz w:val="24"/>
          <w:szCs w:val="24"/>
        </w:rPr>
        <w:t xml:space="preserve"> </w:t>
      </w:r>
      <w:r>
        <w:rPr>
          <w:sz w:val="24"/>
          <w:szCs w:val="24"/>
        </w:rPr>
        <w:t>В целом по Томской области данный показатель снизился к уровню 2014 года на 2,5%. Снижение показателя в районе связано с</w:t>
      </w:r>
      <w:r w:rsidRPr="00D26091">
        <w:rPr>
          <w:sz w:val="24"/>
          <w:szCs w:val="24"/>
        </w:rPr>
        <w:t xml:space="preserve"> уменьшени</w:t>
      </w:r>
      <w:r>
        <w:rPr>
          <w:sz w:val="24"/>
          <w:szCs w:val="24"/>
        </w:rPr>
        <w:t>ем</w:t>
      </w:r>
      <w:r w:rsidRPr="00D26091">
        <w:rPr>
          <w:sz w:val="24"/>
          <w:szCs w:val="24"/>
        </w:rPr>
        <w:t xml:space="preserve"> объема инвестиций в основной капитал по </w:t>
      </w:r>
      <w:r>
        <w:rPr>
          <w:sz w:val="24"/>
          <w:szCs w:val="24"/>
        </w:rPr>
        <w:t xml:space="preserve">таким </w:t>
      </w:r>
      <w:r w:rsidRPr="00D26091">
        <w:rPr>
          <w:sz w:val="24"/>
          <w:szCs w:val="24"/>
        </w:rPr>
        <w:t xml:space="preserve">видам </w:t>
      </w:r>
      <w:r w:rsidRPr="00252012">
        <w:rPr>
          <w:sz w:val="24"/>
          <w:szCs w:val="24"/>
        </w:rPr>
        <w:t>экономической деятельности</w:t>
      </w:r>
      <w:r>
        <w:rPr>
          <w:sz w:val="24"/>
          <w:szCs w:val="24"/>
        </w:rPr>
        <w:t>, как</w:t>
      </w:r>
      <w:r w:rsidRPr="00252012">
        <w:rPr>
          <w:sz w:val="24"/>
          <w:szCs w:val="24"/>
        </w:rPr>
        <w:t>: «Сельское хозяйство, охота и лесное хозяйство» - 55% к уровню 2014 года</w:t>
      </w:r>
      <w:r>
        <w:rPr>
          <w:sz w:val="24"/>
          <w:szCs w:val="24"/>
        </w:rPr>
        <w:t>,</w:t>
      </w:r>
      <w:r w:rsidRPr="00252012">
        <w:rPr>
          <w:sz w:val="24"/>
          <w:szCs w:val="24"/>
        </w:rPr>
        <w:t xml:space="preserve"> «Обрабатывающие производства» - 41,6%.</w:t>
      </w:r>
      <w:r>
        <w:rPr>
          <w:sz w:val="24"/>
          <w:szCs w:val="24"/>
        </w:rPr>
        <w:t xml:space="preserve"> </w:t>
      </w:r>
    </w:p>
    <w:p w:rsidR="0026042B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объем инвестиций</w:t>
      </w:r>
      <w:r w:rsidRPr="00D26091">
        <w:rPr>
          <w:sz w:val="24"/>
          <w:szCs w:val="24"/>
        </w:rPr>
        <w:t xml:space="preserve"> </w:t>
      </w:r>
      <w:r>
        <w:rPr>
          <w:sz w:val="24"/>
          <w:szCs w:val="24"/>
        </w:rPr>
        <w:t>снижается последние два года, до этого в</w:t>
      </w:r>
      <w:r w:rsidRPr="00EB4C44">
        <w:rPr>
          <w:sz w:val="24"/>
          <w:szCs w:val="24"/>
        </w:rPr>
        <w:t>сплеск инвестиционной активности приходи</w:t>
      </w:r>
      <w:r>
        <w:rPr>
          <w:sz w:val="24"/>
          <w:szCs w:val="24"/>
        </w:rPr>
        <w:t>л</w:t>
      </w:r>
      <w:r w:rsidRPr="00EB4C44">
        <w:rPr>
          <w:sz w:val="24"/>
          <w:szCs w:val="24"/>
        </w:rPr>
        <w:t>ся на 2012</w:t>
      </w:r>
      <w:r>
        <w:rPr>
          <w:sz w:val="24"/>
          <w:szCs w:val="24"/>
        </w:rPr>
        <w:t xml:space="preserve"> </w:t>
      </w:r>
      <w:r w:rsidRPr="00EB4C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4C44">
        <w:rPr>
          <w:sz w:val="24"/>
          <w:szCs w:val="24"/>
        </w:rPr>
        <w:t>2013 годы, так как в указанный период был существенно увеличен объем инвестиций такими организациями, как ЗАО «Сибирская Аграрная Группа Мясопереработка», ООО «Томскнефтепереработка», ООО «Аэропорт ТОМСК» за счет собственных и привлеченных средств.</w:t>
      </w:r>
    </w:p>
    <w:p w:rsidR="0026042B" w:rsidRPr="00607F19" w:rsidRDefault="0026042B" w:rsidP="0026042B">
      <w:pPr>
        <w:jc w:val="both"/>
        <w:rPr>
          <w:iCs/>
          <w:sz w:val="24"/>
          <w:szCs w:val="24"/>
        </w:rPr>
      </w:pPr>
    </w:p>
    <w:tbl>
      <w:tblPr>
        <w:tblW w:w="9253" w:type="dxa"/>
        <w:jc w:val="center"/>
        <w:tblLook w:val="04A0" w:firstRow="1" w:lastRow="0" w:firstColumn="1" w:lastColumn="0" w:noHBand="0" w:noVBand="1"/>
      </w:tblPr>
      <w:tblGrid>
        <w:gridCol w:w="4171"/>
        <w:gridCol w:w="847"/>
        <w:gridCol w:w="847"/>
        <w:gridCol w:w="847"/>
        <w:gridCol w:w="847"/>
        <w:gridCol w:w="847"/>
        <w:gridCol w:w="847"/>
      </w:tblGrid>
      <w:tr w:rsidR="0026042B" w:rsidRPr="008C4195" w:rsidTr="000D3B1E">
        <w:trPr>
          <w:trHeight w:val="31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2012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2013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 xml:space="preserve">2014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2015</w:t>
            </w:r>
          </w:p>
        </w:tc>
      </w:tr>
      <w:tr w:rsidR="0026042B" w:rsidRPr="008C4195" w:rsidTr="000D3B1E">
        <w:trPr>
          <w:trHeight w:val="315"/>
          <w:jc w:val="center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4673FB" w:rsidRDefault="0026042B" w:rsidP="000D3B1E">
            <w:pPr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Инвестиции в основной капитал, млн.руб.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1185,2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881,2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 w:rsidRPr="004673FB">
              <w:rPr>
                <w:bCs/>
                <w:color w:val="000000"/>
              </w:rPr>
              <w:t>3846,9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4071,5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2B" w:rsidRPr="00663FFE" w:rsidRDefault="0026042B" w:rsidP="000D3B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1257,1</w:t>
            </w:r>
          </w:p>
        </w:tc>
      </w:tr>
      <w:tr w:rsidR="0026042B" w:rsidRPr="008C4195" w:rsidTr="000D3B1E">
        <w:trPr>
          <w:trHeight w:val="315"/>
          <w:jc w:val="center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4673FB" w:rsidRDefault="0026042B" w:rsidP="000D3B1E">
            <w:pPr>
              <w:rPr>
                <w:i/>
                <w:iCs/>
                <w:color w:val="000000"/>
              </w:rPr>
            </w:pPr>
            <w:r w:rsidRPr="004673FB">
              <w:rPr>
                <w:i/>
                <w:iCs/>
                <w:color w:val="000000"/>
              </w:rPr>
              <w:t>Рост, 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i/>
                <w:iCs/>
                <w:color w:val="000000"/>
              </w:rPr>
            </w:pPr>
            <w:r w:rsidRPr="004673FB">
              <w:rPr>
                <w:i/>
                <w:iCs/>
                <w:color w:val="000000"/>
              </w:rPr>
              <w:t>123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i/>
                <w:iCs/>
                <w:color w:val="000000"/>
              </w:rPr>
            </w:pPr>
            <w:r w:rsidRPr="004673FB">
              <w:rPr>
                <w:i/>
                <w:iCs/>
                <w:color w:val="000000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i/>
                <w:iCs/>
                <w:color w:val="000000"/>
              </w:rPr>
            </w:pPr>
            <w:r w:rsidRPr="004673FB">
              <w:rPr>
                <w:i/>
                <w:iCs/>
                <w:color w:val="000000"/>
              </w:rPr>
              <w:t>437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4673FB" w:rsidRDefault="0026042B" w:rsidP="000D3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2B" w:rsidRPr="00663FFE" w:rsidRDefault="0026042B" w:rsidP="000D3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</w:t>
            </w:r>
          </w:p>
        </w:tc>
      </w:tr>
    </w:tbl>
    <w:p w:rsidR="0026042B" w:rsidRDefault="0026042B" w:rsidP="0026042B">
      <w:pPr>
        <w:ind w:firstLine="567"/>
        <w:jc w:val="center"/>
        <w:rPr>
          <w:noProof/>
        </w:rPr>
      </w:pPr>
    </w:p>
    <w:p w:rsidR="0026042B" w:rsidRDefault="001338A4" w:rsidP="0026042B">
      <w:pPr>
        <w:ind w:firstLine="567"/>
        <w:jc w:val="center"/>
        <w:rPr>
          <w:sz w:val="24"/>
          <w:szCs w:val="24"/>
          <w:highlight w:val="green"/>
        </w:rPr>
      </w:pPr>
      <w:r w:rsidRPr="0096405B">
        <w:rPr>
          <w:noProof/>
        </w:rPr>
        <w:lastRenderedPageBreak/>
        <w:drawing>
          <wp:inline distT="0" distB="0" distL="0" distR="0">
            <wp:extent cx="5433060" cy="244602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042B" w:rsidRPr="008C4195" w:rsidRDefault="0026042B" w:rsidP="0026042B">
      <w:pPr>
        <w:ind w:firstLine="567"/>
        <w:jc w:val="both"/>
        <w:rPr>
          <w:sz w:val="24"/>
          <w:szCs w:val="24"/>
          <w:highlight w:val="green"/>
        </w:rPr>
      </w:pPr>
    </w:p>
    <w:p w:rsidR="0026042B" w:rsidRPr="009C315C" w:rsidRDefault="0026042B" w:rsidP="0026042B">
      <w:pPr>
        <w:ind w:firstLine="567"/>
        <w:jc w:val="both"/>
        <w:rPr>
          <w:b/>
          <w:bCs/>
          <w:i/>
          <w:sz w:val="24"/>
          <w:szCs w:val="24"/>
        </w:rPr>
      </w:pPr>
      <w:r w:rsidRPr="009C315C">
        <w:rPr>
          <w:b/>
          <w:bCs/>
          <w:i/>
          <w:sz w:val="24"/>
          <w:szCs w:val="24"/>
        </w:rPr>
        <w:t>Жилищное строительство</w:t>
      </w:r>
    </w:p>
    <w:p w:rsidR="0026042B" w:rsidRPr="008C7F32" w:rsidRDefault="0026042B" w:rsidP="002604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Томский район остается лидером в Томской области по вводу в действие жилых домов, за 6 лет показатель вырос более чем в 10 раз, с 15664 кв. м в 2010 году до 161432 кв. м в 2015 году. В среднем на 80% рост показателя </w:t>
      </w:r>
      <w:r w:rsidRPr="008C7F32">
        <w:rPr>
          <w:sz w:val="24"/>
          <w:szCs w:val="24"/>
        </w:rPr>
        <w:t>обусловлен активизацией индивидуального жилищного строительства. В 2015 году введено индивидуальными застройщиками – 123</w:t>
      </w:r>
      <w:r>
        <w:rPr>
          <w:sz w:val="24"/>
          <w:szCs w:val="24"/>
        </w:rPr>
        <w:t>336</w:t>
      </w:r>
      <w:r w:rsidRPr="008C7F32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 Данный показатель по Томской области составил 699072 кв. м., в том числе </w:t>
      </w:r>
      <w:r w:rsidRPr="008C7F32">
        <w:rPr>
          <w:sz w:val="24"/>
          <w:szCs w:val="24"/>
        </w:rPr>
        <w:t>индивидуальными застройщиками</w:t>
      </w:r>
      <w:r>
        <w:rPr>
          <w:sz w:val="24"/>
          <w:szCs w:val="24"/>
        </w:rPr>
        <w:t xml:space="preserve"> – 281342 кв. м. Доля Томского района в показателях по Томской области составила 23,1% и 43,8% соответственно.</w:t>
      </w:r>
    </w:p>
    <w:p w:rsidR="0026042B" w:rsidRPr="008C7F32" w:rsidRDefault="0026042B" w:rsidP="0026042B">
      <w:pPr>
        <w:jc w:val="both"/>
        <w:rPr>
          <w:bCs/>
          <w:i/>
          <w:sz w:val="24"/>
          <w:szCs w:val="2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012"/>
        <w:gridCol w:w="1012"/>
        <w:gridCol w:w="1012"/>
        <w:gridCol w:w="1012"/>
        <w:gridCol w:w="1012"/>
        <w:gridCol w:w="1012"/>
      </w:tblGrid>
      <w:tr w:rsidR="0026042B" w:rsidRPr="008C7F32" w:rsidTr="000D3B1E">
        <w:trPr>
          <w:trHeight w:val="315"/>
          <w:jc w:val="center"/>
        </w:trPr>
        <w:tc>
          <w:tcPr>
            <w:tcW w:w="3557" w:type="dxa"/>
            <w:shd w:val="clear" w:color="auto" w:fill="auto"/>
            <w:vAlign w:val="bottom"/>
            <w:hideMark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2010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2011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2012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2013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 xml:space="preserve">2014 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26042B" w:rsidRPr="008C7F32" w:rsidRDefault="0026042B" w:rsidP="000D3B1E">
            <w:pPr>
              <w:jc w:val="center"/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 xml:space="preserve">2015 </w:t>
            </w:r>
          </w:p>
        </w:tc>
      </w:tr>
      <w:tr w:rsidR="0026042B" w:rsidRPr="008C7F32" w:rsidTr="000D3B1E">
        <w:trPr>
          <w:trHeight w:val="315"/>
          <w:jc w:val="center"/>
        </w:trPr>
        <w:tc>
          <w:tcPr>
            <w:tcW w:w="3557" w:type="dxa"/>
            <w:shd w:val="clear" w:color="auto" w:fill="auto"/>
            <w:vAlign w:val="bottom"/>
            <w:hideMark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Ввод в действие жилых домов, кв.м.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15664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19599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22427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61625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115560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26042B" w:rsidRPr="008C7F32" w:rsidRDefault="0026042B" w:rsidP="000D3B1E">
            <w:pPr>
              <w:rPr>
                <w:bCs/>
                <w:color w:val="000000"/>
              </w:rPr>
            </w:pPr>
            <w:r w:rsidRPr="008C7F32">
              <w:rPr>
                <w:bCs/>
                <w:color w:val="000000"/>
              </w:rPr>
              <w:t>161432</w:t>
            </w:r>
          </w:p>
        </w:tc>
      </w:tr>
      <w:tr w:rsidR="0026042B" w:rsidRPr="008C7F32" w:rsidTr="000D3B1E">
        <w:trPr>
          <w:trHeight w:val="315"/>
          <w:jc w:val="center"/>
        </w:trPr>
        <w:tc>
          <w:tcPr>
            <w:tcW w:w="3557" w:type="dxa"/>
            <w:shd w:val="clear" w:color="auto" w:fill="auto"/>
            <w:vAlign w:val="bottom"/>
            <w:hideMark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Рост, %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123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125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114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275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188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140</w:t>
            </w:r>
          </w:p>
        </w:tc>
      </w:tr>
      <w:tr w:rsidR="0026042B" w:rsidRPr="008C7F32" w:rsidTr="000D3B1E">
        <w:trPr>
          <w:trHeight w:val="315"/>
          <w:jc w:val="center"/>
        </w:trPr>
        <w:tc>
          <w:tcPr>
            <w:tcW w:w="3557" w:type="dxa"/>
            <w:shd w:val="clear" w:color="auto" w:fill="auto"/>
            <w:vAlign w:val="bottom"/>
            <w:hideMark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в т.ч. индивидуальное жилищное строительство, кв.м.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9525,0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11804,0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19741,0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49402,0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113200,0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26042B" w:rsidRPr="008C7F32" w:rsidRDefault="0026042B" w:rsidP="000D3B1E">
            <w:pPr>
              <w:rPr>
                <w:iCs/>
                <w:color w:val="000000"/>
              </w:rPr>
            </w:pPr>
            <w:r w:rsidRPr="008C7F32">
              <w:rPr>
                <w:iCs/>
                <w:color w:val="000000"/>
              </w:rPr>
              <w:t>123336,0</w:t>
            </w:r>
          </w:p>
        </w:tc>
      </w:tr>
      <w:tr w:rsidR="0026042B" w:rsidRPr="008C7F32" w:rsidTr="000D3B1E">
        <w:trPr>
          <w:trHeight w:val="315"/>
          <w:jc w:val="center"/>
        </w:trPr>
        <w:tc>
          <w:tcPr>
            <w:tcW w:w="3557" w:type="dxa"/>
            <w:shd w:val="clear" w:color="auto" w:fill="auto"/>
            <w:vAlign w:val="bottom"/>
            <w:hideMark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Рост, %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85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124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167</w:t>
            </w:r>
          </w:p>
        </w:tc>
        <w:tc>
          <w:tcPr>
            <w:tcW w:w="1012" w:type="dxa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229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26042B" w:rsidRPr="008C7F32" w:rsidRDefault="0026042B" w:rsidP="000D3B1E">
            <w:pPr>
              <w:rPr>
                <w:i/>
                <w:iCs/>
                <w:color w:val="000000"/>
              </w:rPr>
            </w:pPr>
            <w:r w:rsidRPr="008C7F32">
              <w:rPr>
                <w:i/>
                <w:iCs/>
                <w:color w:val="000000"/>
              </w:rPr>
              <w:t>109</w:t>
            </w:r>
          </w:p>
        </w:tc>
      </w:tr>
    </w:tbl>
    <w:p w:rsidR="0026042B" w:rsidRDefault="0026042B" w:rsidP="0026042B">
      <w:pPr>
        <w:ind w:firstLine="567"/>
        <w:jc w:val="both"/>
        <w:rPr>
          <w:noProof/>
        </w:rPr>
      </w:pPr>
    </w:p>
    <w:p w:rsidR="0026042B" w:rsidRDefault="001338A4" w:rsidP="0026042B">
      <w:pPr>
        <w:jc w:val="center"/>
        <w:rPr>
          <w:b/>
          <w:sz w:val="24"/>
          <w:szCs w:val="24"/>
          <w:highlight w:val="green"/>
        </w:rPr>
      </w:pPr>
      <w:r w:rsidRPr="0096405B">
        <w:rPr>
          <w:noProof/>
        </w:rPr>
        <w:drawing>
          <wp:inline distT="0" distB="0" distL="0" distR="0">
            <wp:extent cx="6461760" cy="39243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042B" w:rsidRDefault="0026042B" w:rsidP="0026042B">
      <w:pPr>
        <w:jc w:val="center"/>
        <w:rPr>
          <w:b/>
          <w:sz w:val="24"/>
          <w:szCs w:val="24"/>
        </w:rPr>
      </w:pPr>
    </w:p>
    <w:p w:rsidR="0026042B" w:rsidRDefault="0026042B" w:rsidP="0026042B">
      <w:pPr>
        <w:jc w:val="center"/>
        <w:rPr>
          <w:b/>
          <w:sz w:val="24"/>
          <w:szCs w:val="24"/>
        </w:rPr>
      </w:pPr>
    </w:p>
    <w:p w:rsidR="0026042B" w:rsidRDefault="0026042B" w:rsidP="00FD0FD3"/>
    <w:sectPr w:rsidR="0026042B" w:rsidSect="003F62E5">
      <w:footerReference w:type="default" r:id="rId14"/>
      <w:type w:val="continuous"/>
      <w:pgSz w:w="11906" w:h="16838" w:code="9"/>
      <w:pgMar w:top="567" w:right="851" w:bottom="340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2A" w:rsidRDefault="00C66E2A">
      <w:r>
        <w:separator/>
      </w:r>
    </w:p>
  </w:endnote>
  <w:endnote w:type="continuationSeparator" w:id="0">
    <w:p w:rsidR="00C66E2A" w:rsidRDefault="00C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D5" w:rsidRDefault="009976D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2A" w:rsidRDefault="00C66E2A">
      <w:r>
        <w:separator/>
      </w:r>
    </w:p>
  </w:footnote>
  <w:footnote w:type="continuationSeparator" w:id="0">
    <w:p w:rsidR="00C66E2A" w:rsidRDefault="00C6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CD5"/>
    <w:multiLevelType w:val="hybridMultilevel"/>
    <w:tmpl w:val="94E214A2"/>
    <w:lvl w:ilvl="0" w:tplc="771AA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63641"/>
    <w:multiLevelType w:val="hybridMultilevel"/>
    <w:tmpl w:val="5546EBE6"/>
    <w:lvl w:ilvl="0" w:tplc="6EA8B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547A1"/>
    <w:multiLevelType w:val="hybridMultilevel"/>
    <w:tmpl w:val="DAEAC204"/>
    <w:lvl w:ilvl="0" w:tplc="CE76FE5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E2360DC"/>
    <w:multiLevelType w:val="hybridMultilevel"/>
    <w:tmpl w:val="EE7C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C629A"/>
    <w:multiLevelType w:val="hybridMultilevel"/>
    <w:tmpl w:val="411AF7CC"/>
    <w:lvl w:ilvl="0" w:tplc="295AE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1537B1"/>
    <w:multiLevelType w:val="hybridMultilevel"/>
    <w:tmpl w:val="9EF25A94"/>
    <w:lvl w:ilvl="0" w:tplc="57EEA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9D"/>
    <w:rsid w:val="00005791"/>
    <w:rsid w:val="00005AF2"/>
    <w:rsid w:val="00006B84"/>
    <w:rsid w:val="00015E6E"/>
    <w:rsid w:val="00016A59"/>
    <w:rsid w:val="00017879"/>
    <w:rsid w:val="0002221D"/>
    <w:rsid w:val="00023E99"/>
    <w:rsid w:val="000277B0"/>
    <w:rsid w:val="000319CE"/>
    <w:rsid w:val="00041F9C"/>
    <w:rsid w:val="0006089E"/>
    <w:rsid w:val="00061816"/>
    <w:rsid w:val="00066603"/>
    <w:rsid w:val="000730A3"/>
    <w:rsid w:val="00093104"/>
    <w:rsid w:val="000C3E94"/>
    <w:rsid w:val="000C5764"/>
    <w:rsid w:val="000D3B1E"/>
    <w:rsid w:val="000F57DA"/>
    <w:rsid w:val="00102A30"/>
    <w:rsid w:val="001031E9"/>
    <w:rsid w:val="00120C69"/>
    <w:rsid w:val="001274B0"/>
    <w:rsid w:val="00127ADF"/>
    <w:rsid w:val="001300AB"/>
    <w:rsid w:val="00130AC6"/>
    <w:rsid w:val="001319D6"/>
    <w:rsid w:val="001338A4"/>
    <w:rsid w:val="0014160A"/>
    <w:rsid w:val="001422BD"/>
    <w:rsid w:val="001437F9"/>
    <w:rsid w:val="00147008"/>
    <w:rsid w:val="001527A4"/>
    <w:rsid w:val="00177DB0"/>
    <w:rsid w:val="0019218D"/>
    <w:rsid w:val="00196854"/>
    <w:rsid w:val="001B1916"/>
    <w:rsid w:val="001B5547"/>
    <w:rsid w:val="001C6876"/>
    <w:rsid w:val="001E413C"/>
    <w:rsid w:val="001E5439"/>
    <w:rsid w:val="001F0032"/>
    <w:rsid w:val="00204A26"/>
    <w:rsid w:val="002118BE"/>
    <w:rsid w:val="00216754"/>
    <w:rsid w:val="002421D7"/>
    <w:rsid w:val="00246A63"/>
    <w:rsid w:val="002534BB"/>
    <w:rsid w:val="0026042B"/>
    <w:rsid w:val="00263AB6"/>
    <w:rsid w:val="00266F92"/>
    <w:rsid w:val="00270854"/>
    <w:rsid w:val="00281103"/>
    <w:rsid w:val="00282395"/>
    <w:rsid w:val="002A51EE"/>
    <w:rsid w:val="002A671D"/>
    <w:rsid w:val="002A719C"/>
    <w:rsid w:val="002B14E9"/>
    <w:rsid w:val="002B657F"/>
    <w:rsid w:val="002B6FFD"/>
    <w:rsid w:val="002B7AF2"/>
    <w:rsid w:val="002C08A5"/>
    <w:rsid w:val="002C4DE3"/>
    <w:rsid w:val="002D67F8"/>
    <w:rsid w:val="002E24AC"/>
    <w:rsid w:val="002E26AE"/>
    <w:rsid w:val="0032673F"/>
    <w:rsid w:val="003267C7"/>
    <w:rsid w:val="00355056"/>
    <w:rsid w:val="00355BCB"/>
    <w:rsid w:val="0035641E"/>
    <w:rsid w:val="00364DC2"/>
    <w:rsid w:val="003735F4"/>
    <w:rsid w:val="00395D47"/>
    <w:rsid w:val="00396FF4"/>
    <w:rsid w:val="003A4DB1"/>
    <w:rsid w:val="003B6765"/>
    <w:rsid w:val="003C3752"/>
    <w:rsid w:val="003D03A6"/>
    <w:rsid w:val="003D3428"/>
    <w:rsid w:val="003D67AE"/>
    <w:rsid w:val="003F0054"/>
    <w:rsid w:val="003F1C8A"/>
    <w:rsid w:val="003F2F2E"/>
    <w:rsid w:val="003F62E5"/>
    <w:rsid w:val="0040107D"/>
    <w:rsid w:val="00403C6C"/>
    <w:rsid w:val="004154CA"/>
    <w:rsid w:val="004200A9"/>
    <w:rsid w:val="00434EE6"/>
    <w:rsid w:val="00442A8C"/>
    <w:rsid w:val="0045308F"/>
    <w:rsid w:val="004603B6"/>
    <w:rsid w:val="00473A00"/>
    <w:rsid w:val="00482F61"/>
    <w:rsid w:val="00492410"/>
    <w:rsid w:val="004B25B1"/>
    <w:rsid w:val="004B34A2"/>
    <w:rsid w:val="004D1C20"/>
    <w:rsid w:val="004D3DAF"/>
    <w:rsid w:val="004D691F"/>
    <w:rsid w:val="004E5EED"/>
    <w:rsid w:val="004F3739"/>
    <w:rsid w:val="004F49DB"/>
    <w:rsid w:val="004F6066"/>
    <w:rsid w:val="004F73EA"/>
    <w:rsid w:val="004F7EE4"/>
    <w:rsid w:val="00512A4A"/>
    <w:rsid w:val="00517799"/>
    <w:rsid w:val="00537698"/>
    <w:rsid w:val="00537875"/>
    <w:rsid w:val="00546BB7"/>
    <w:rsid w:val="005515D2"/>
    <w:rsid w:val="00556EEB"/>
    <w:rsid w:val="0056375E"/>
    <w:rsid w:val="00564FE1"/>
    <w:rsid w:val="00567503"/>
    <w:rsid w:val="00577EC2"/>
    <w:rsid w:val="0058532D"/>
    <w:rsid w:val="005961C1"/>
    <w:rsid w:val="00596414"/>
    <w:rsid w:val="005A0D2E"/>
    <w:rsid w:val="005A5ECB"/>
    <w:rsid w:val="005B4E79"/>
    <w:rsid w:val="005B7DB6"/>
    <w:rsid w:val="005C2E5B"/>
    <w:rsid w:val="005C5341"/>
    <w:rsid w:val="005C5E6F"/>
    <w:rsid w:val="005D370D"/>
    <w:rsid w:val="005D466E"/>
    <w:rsid w:val="005F6D7C"/>
    <w:rsid w:val="00604460"/>
    <w:rsid w:val="006070DD"/>
    <w:rsid w:val="006108E4"/>
    <w:rsid w:val="00617388"/>
    <w:rsid w:val="006262EA"/>
    <w:rsid w:val="00627F75"/>
    <w:rsid w:val="0063750E"/>
    <w:rsid w:val="00642A5E"/>
    <w:rsid w:val="00643E6B"/>
    <w:rsid w:val="00650F43"/>
    <w:rsid w:val="00652A65"/>
    <w:rsid w:val="0065747F"/>
    <w:rsid w:val="0065794E"/>
    <w:rsid w:val="006630E8"/>
    <w:rsid w:val="00672A3E"/>
    <w:rsid w:val="00675957"/>
    <w:rsid w:val="00690137"/>
    <w:rsid w:val="00696948"/>
    <w:rsid w:val="006A397B"/>
    <w:rsid w:val="006A5DEE"/>
    <w:rsid w:val="006B0C02"/>
    <w:rsid w:val="006B18A4"/>
    <w:rsid w:val="006B5078"/>
    <w:rsid w:val="006B7573"/>
    <w:rsid w:val="006C1AA9"/>
    <w:rsid w:val="006D079C"/>
    <w:rsid w:val="006D46F2"/>
    <w:rsid w:val="006D4DBE"/>
    <w:rsid w:val="006D6BCD"/>
    <w:rsid w:val="006F1702"/>
    <w:rsid w:val="006F54DF"/>
    <w:rsid w:val="006F7305"/>
    <w:rsid w:val="007043BA"/>
    <w:rsid w:val="0071056D"/>
    <w:rsid w:val="00720203"/>
    <w:rsid w:val="007455CF"/>
    <w:rsid w:val="00771149"/>
    <w:rsid w:val="00776776"/>
    <w:rsid w:val="00783C75"/>
    <w:rsid w:val="007960A4"/>
    <w:rsid w:val="007B3FA7"/>
    <w:rsid w:val="007C331F"/>
    <w:rsid w:val="007D0090"/>
    <w:rsid w:val="007D449E"/>
    <w:rsid w:val="007F7541"/>
    <w:rsid w:val="007F796C"/>
    <w:rsid w:val="008056EC"/>
    <w:rsid w:val="008119E8"/>
    <w:rsid w:val="008230EF"/>
    <w:rsid w:val="00823CDC"/>
    <w:rsid w:val="0084425D"/>
    <w:rsid w:val="0086019B"/>
    <w:rsid w:val="00861A98"/>
    <w:rsid w:val="00864079"/>
    <w:rsid w:val="00882AE3"/>
    <w:rsid w:val="008875E5"/>
    <w:rsid w:val="00890F35"/>
    <w:rsid w:val="0089562D"/>
    <w:rsid w:val="008B7FC4"/>
    <w:rsid w:val="008C69CF"/>
    <w:rsid w:val="008E41D6"/>
    <w:rsid w:val="008F1C98"/>
    <w:rsid w:val="008F39CB"/>
    <w:rsid w:val="008F4D1E"/>
    <w:rsid w:val="0090106D"/>
    <w:rsid w:val="0090203E"/>
    <w:rsid w:val="00902130"/>
    <w:rsid w:val="00902F8D"/>
    <w:rsid w:val="00930887"/>
    <w:rsid w:val="00943827"/>
    <w:rsid w:val="00946C72"/>
    <w:rsid w:val="009528D6"/>
    <w:rsid w:val="00965E58"/>
    <w:rsid w:val="0097039F"/>
    <w:rsid w:val="0097251D"/>
    <w:rsid w:val="00972B45"/>
    <w:rsid w:val="00973E32"/>
    <w:rsid w:val="009774BE"/>
    <w:rsid w:val="009840DA"/>
    <w:rsid w:val="00986F0B"/>
    <w:rsid w:val="009976D5"/>
    <w:rsid w:val="009A202A"/>
    <w:rsid w:val="009B1EB3"/>
    <w:rsid w:val="009C0083"/>
    <w:rsid w:val="009D020D"/>
    <w:rsid w:val="009D6F1D"/>
    <w:rsid w:val="009F2475"/>
    <w:rsid w:val="009F7891"/>
    <w:rsid w:val="00A01703"/>
    <w:rsid w:val="00A0464E"/>
    <w:rsid w:val="00A27B4A"/>
    <w:rsid w:val="00A3152A"/>
    <w:rsid w:val="00A3634D"/>
    <w:rsid w:val="00A464C8"/>
    <w:rsid w:val="00A53549"/>
    <w:rsid w:val="00A53BF9"/>
    <w:rsid w:val="00A61074"/>
    <w:rsid w:val="00A611FA"/>
    <w:rsid w:val="00A645DF"/>
    <w:rsid w:val="00A653F7"/>
    <w:rsid w:val="00A66BA7"/>
    <w:rsid w:val="00A72C24"/>
    <w:rsid w:val="00A803ED"/>
    <w:rsid w:val="00A81B9F"/>
    <w:rsid w:val="00AB01D8"/>
    <w:rsid w:val="00AB08C6"/>
    <w:rsid w:val="00AB098B"/>
    <w:rsid w:val="00AC47A4"/>
    <w:rsid w:val="00AC6D47"/>
    <w:rsid w:val="00AD2D28"/>
    <w:rsid w:val="00AE023E"/>
    <w:rsid w:val="00B001EE"/>
    <w:rsid w:val="00B01485"/>
    <w:rsid w:val="00B047A6"/>
    <w:rsid w:val="00B05C7D"/>
    <w:rsid w:val="00B10985"/>
    <w:rsid w:val="00B1511D"/>
    <w:rsid w:val="00B1657B"/>
    <w:rsid w:val="00B34586"/>
    <w:rsid w:val="00B36D6E"/>
    <w:rsid w:val="00B43302"/>
    <w:rsid w:val="00B44EFB"/>
    <w:rsid w:val="00B612D9"/>
    <w:rsid w:val="00B61749"/>
    <w:rsid w:val="00B623E9"/>
    <w:rsid w:val="00B650A1"/>
    <w:rsid w:val="00B66315"/>
    <w:rsid w:val="00B8361E"/>
    <w:rsid w:val="00B94BCD"/>
    <w:rsid w:val="00B965B4"/>
    <w:rsid w:val="00BA5341"/>
    <w:rsid w:val="00BB76DE"/>
    <w:rsid w:val="00BB7A53"/>
    <w:rsid w:val="00BC2C8E"/>
    <w:rsid w:val="00BD3FE0"/>
    <w:rsid w:val="00BE3CC7"/>
    <w:rsid w:val="00BF04AB"/>
    <w:rsid w:val="00BF2F74"/>
    <w:rsid w:val="00BF5A07"/>
    <w:rsid w:val="00C02D89"/>
    <w:rsid w:val="00C0641A"/>
    <w:rsid w:val="00C1143D"/>
    <w:rsid w:val="00C1573D"/>
    <w:rsid w:val="00C21BE5"/>
    <w:rsid w:val="00C3721B"/>
    <w:rsid w:val="00C40744"/>
    <w:rsid w:val="00C47030"/>
    <w:rsid w:val="00C50756"/>
    <w:rsid w:val="00C51460"/>
    <w:rsid w:val="00C6415D"/>
    <w:rsid w:val="00C66E2A"/>
    <w:rsid w:val="00C704FA"/>
    <w:rsid w:val="00C716DE"/>
    <w:rsid w:val="00C73DD1"/>
    <w:rsid w:val="00C75980"/>
    <w:rsid w:val="00C767BE"/>
    <w:rsid w:val="00C927D7"/>
    <w:rsid w:val="00C96578"/>
    <w:rsid w:val="00C96A14"/>
    <w:rsid w:val="00CA4F56"/>
    <w:rsid w:val="00CB0FC1"/>
    <w:rsid w:val="00CC19B1"/>
    <w:rsid w:val="00CE195B"/>
    <w:rsid w:val="00CE2B7C"/>
    <w:rsid w:val="00CE5F89"/>
    <w:rsid w:val="00CF190E"/>
    <w:rsid w:val="00D109DB"/>
    <w:rsid w:val="00D166AC"/>
    <w:rsid w:val="00D2314A"/>
    <w:rsid w:val="00D23462"/>
    <w:rsid w:val="00D26282"/>
    <w:rsid w:val="00D32743"/>
    <w:rsid w:val="00D42542"/>
    <w:rsid w:val="00D52B80"/>
    <w:rsid w:val="00D53AB6"/>
    <w:rsid w:val="00D548DA"/>
    <w:rsid w:val="00D54F9B"/>
    <w:rsid w:val="00D66C08"/>
    <w:rsid w:val="00D67B92"/>
    <w:rsid w:val="00D73F72"/>
    <w:rsid w:val="00D74CE0"/>
    <w:rsid w:val="00D76BFF"/>
    <w:rsid w:val="00D86763"/>
    <w:rsid w:val="00D9657E"/>
    <w:rsid w:val="00D96E9A"/>
    <w:rsid w:val="00D972CF"/>
    <w:rsid w:val="00DC5DD1"/>
    <w:rsid w:val="00DE24F1"/>
    <w:rsid w:val="00E10D32"/>
    <w:rsid w:val="00E1303E"/>
    <w:rsid w:val="00E16389"/>
    <w:rsid w:val="00E212F2"/>
    <w:rsid w:val="00E21EAC"/>
    <w:rsid w:val="00E261F2"/>
    <w:rsid w:val="00E343F4"/>
    <w:rsid w:val="00E361A9"/>
    <w:rsid w:val="00E3758E"/>
    <w:rsid w:val="00E4017E"/>
    <w:rsid w:val="00E54A19"/>
    <w:rsid w:val="00E54BD4"/>
    <w:rsid w:val="00E576F1"/>
    <w:rsid w:val="00E62FA7"/>
    <w:rsid w:val="00E64A64"/>
    <w:rsid w:val="00E80F21"/>
    <w:rsid w:val="00E859D2"/>
    <w:rsid w:val="00E85B68"/>
    <w:rsid w:val="00E94AFC"/>
    <w:rsid w:val="00EB0CDC"/>
    <w:rsid w:val="00EB1327"/>
    <w:rsid w:val="00EB4FFA"/>
    <w:rsid w:val="00EB63C2"/>
    <w:rsid w:val="00EB686F"/>
    <w:rsid w:val="00EC2F21"/>
    <w:rsid w:val="00ED302A"/>
    <w:rsid w:val="00EF3404"/>
    <w:rsid w:val="00EF3DB3"/>
    <w:rsid w:val="00F0689D"/>
    <w:rsid w:val="00F07D24"/>
    <w:rsid w:val="00F231D4"/>
    <w:rsid w:val="00F32FC4"/>
    <w:rsid w:val="00F36B42"/>
    <w:rsid w:val="00F37DCE"/>
    <w:rsid w:val="00F50649"/>
    <w:rsid w:val="00F530C8"/>
    <w:rsid w:val="00F65646"/>
    <w:rsid w:val="00F667F3"/>
    <w:rsid w:val="00F75E60"/>
    <w:rsid w:val="00F84A27"/>
    <w:rsid w:val="00F873CA"/>
    <w:rsid w:val="00F91BEF"/>
    <w:rsid w:val="00FA4C67"/>
    <w:rsid w:val="00FA5537"/>
    <w:rsid w:val="00FB0D3A"/>
    <w:rsid w:val="00FB37C0"/>
    <w:rsid w:val="00FB6695"/>
    <w:rsid w:val="00FD0114"/>
    <w:rsid w:val="00FD0FD3"/>
    <w:rsid w:val="00FD16C4"/>
    <w:rsid w:val="00FD5308"/>
    <w:rsid w:val="00FE0D22"/>
    <w:rsid w:val="00FF09E5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DD004-A02A-4C4D-B1A8-FEC9AA8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tabs>
        <w:tab w:val="left" w:pos="453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tabs>
        <w:tab w:val="left" w:pos="4536"/>
      </w:tabs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pPr>
      <w:spacing w:line="360" w:lineRule="auto"/>
      <w:ind w:right="-765"/>
      <w:jc w:val="both"/>
    </w:pPr>
    <w:rPr>
      <w:sz w:val="28"/>
    </w:rPr>
  </w:style>
  <w:style w:type="character" w:styleId="a8">
    <w:name w:val="Hyperlink"/>
    <w:rsid w:val="00E21EAC"/>
    <w:rPr>
      <w:color w:val="0000FF"/>
      <w:u w:val="single"/>
    </w:rPr>
  </w:style>
  <w:style w:type="paragraph" w:styleId="a9">
    <w:name w:val="Balloon Text"/>
    <w:basedOn w:val="a"/>
    <w:semiHidden/>
    <w:rsid w:val="00E21EAC"/>
    <w:rPr>
      <w:rFonts w:ascii="Tahoma" w:hAnsi="Tahoma" w:cs="Tahoma"/>
      <w:sz w:val="16"/>
      <w:szCs w:val="16"/>
    </w:rPr>
  </w:style>
  <w:style w:type="paragraph" w:customStyle="1" w:styleId="aa">
    <w:name w:val="Стандарт"/>
    <w:basedOn w:val="a"/>
    <w:rsid w:val="00A81B9F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a1">
    <w:name w:val=" Знак"/>
    <w:basedOn w:val="a"/>
    <w:link w:val="a0"/>
    <w:rsid w:val="00E859D2"/>
    <w:rPr>
      <w:rFonts w:ascii="Verdana" w:hAnsi="Verdana" w:cs="Verdana"/>
      <w:lang w:val="en-US" w:eastAsia="en-US"/>
    </w:rPr>
  </w:style>
  <w:style w:type="paragraph" w:styleId="ab">
    <w:name w:val="caption"/>
    <w:basedOn w:val="a"/>
    <w:qFormat/>
    <w:rsid w:val="00861A98"/>
    <w:pPr>
      <w:jc w:val="center"/>
    </w:pPr>
    <w:rPr>
      <w:b/>
      <w:sz w:val="28"/>
    </w:rPr>
  </w:style>
  <w:style w:type="table" w:styleId="ac">
    <w:name w:val="Table Grid"/>
    <w:basedOn w:val="a2"/>
    <w:rsid w:val="00B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ab">
    <w:name w:val="Report_Tab"/>
    <w:basedOn w:val="a"/>
    <w:rsid w:val="00403C6C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5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численности населения Томского района</a:t>
            </a:r>
            <a:r>
              <a:rPr lang="ru-RU" sz="15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2010 - 2015 годах</a:t>
            </a:r>
            <a:endParaRPr lang="ru-RU" sz="15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16223288780407"/>
          <c:y val="3.6295463067116608E-3"/>
        </c:manualLayout>
      </c:layout>
      <c:overlay val="0"/>
      <c:spPr>
        <a:noFill/>
        <a:ln w="2539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582847149594774E-2"/>
          <c:y val="8.8668739936919649E-2"/>
          <c:w val="0.87037877674730835"/>
          <c:h val="0.7099561966518891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'показатели для графиков'!$B$87</c:f>
              <c:strCache>
                <c:ptCount val="1"/>
                <c:pt idx="0">
                  <c:v>Численность населения, тыс. чел.</c:v>
                </c:pt>
              </c:strCache>
            </c:strRef>
          </c:tx>
          <c:spPr>
            <a:solidFill>
              <a:srgbClr val="C0504D"/>
            </a:solidFill>
            <a:ln w="25392">
              <a:noFill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графиков'!$E$87:$J$87</c:f>
              <c:numCache>
                <c:formatCode>General</c:formatCode>
                <c:ptCount val="6"/>
                <c:pt idx="0">
                  <c:v>68.8</c:v>
                </c:pt>
                <c:pt idx="1">
                  <c:v>69.599999999999994</c:v>
                </c:pt>
                <c:pt idx="2">
                  <c:v>70.5</c:v>
                </c:pt>
                <c:pt idx="3">
                  <c:v>71.5</c:v>
                </c:pt>
                <c:pt idx="4">
                  <c:v>71.8</c:v>
                </c:pt>
                <c:pt idx="5">
                  <c:v>72.400000000000006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73869856"/>
        <c:axId val="373867112"/>
      </c:barChart>
      <c:lineChart>
        <c:grouping val="stacked"/>
        <c:varyColors val="0"/>
        <c:ser>
          <c:idx val="2"/>
          <c:order val="1"/>
          <c:tx>
            <c:strRef>
              <c:f>'показатели для графиков'!$B$91</c:f>
              <c:strCache>
                <c:ptCount val="1"/>
                <c:pt idx="0">
                  <c:v>Коэффициент естественного прироста, на 1000 чел.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1.8221158140084327E-2"/>
                  <c:y val="-3.8095590992302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757565018971968E-2"/>
                  <c:y val="-2.9993250843644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940842603236616E-2"/>
                  <c:y val="-2.9820860627715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757565018971968E-2"/>
                  <c:y val="-3.378565914554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172338090010977E-2"/>
                  <c:y val="-2.0857275193541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099524332235746E-2"/>
                  <c:y val="-8.96358543417366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графиков'!$D$1:$H$1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'показатели для графиков'!$E$91:$J$91</c:f>
              <c:numCache>
                <c:formatCode>0.0</c:formatCode>
                <c:ptCount val="6"/>
                <c:pt idx="0">
                  <c:v>0.62460961898813239</c:v>
                </c:pt>
                <c:pt idx="1">
                  <c:v>2.2256684184830995</c:v>
                </c:pt>
                <c:pt idx="2">
                  <c:v>2.7783290335384003</c:v>
                </c:pt>
                <c:pt idx="3">
                  <c:v>2.9633357095931006</c:v>
                </c:pt>
                <c:pt idx="4">
                  <c:v>2.8012375616690357</c:v>
                </c:pt>
                <c:pt idx="5">
                  <c:v>2.1681489255924435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3869856"/>
        <c:axId val="373867112"/>
      </c:lineChart>
      <c:catAx>
        <c:axId val="3738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67112"/>
        <c:crosses val="autoZero"/>
        <c:auto val="1"/>
        <c:lblAlgn val="ctr"/>
        <c:lblOffset val="100"/>
        <c:noMultiLvlLbl val="0"/>
      </c:catAx>
      <c:valAx>
        <c:axId val="373867112"/>
        <c:scaling>
          <c:orientation val="minMax"/>
          <c:max val="80"/>
          <c:min val="0"/>
        </c:scaling>
        <c:delete val="0"/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400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Значения коэффициента на 1000 чел.</a:t>
                </a:r>
              </a:p>
            </c:rich>
          </c:tx>
          <c:overlay val="0"/>
          <c:spPr>
            <a:noFill/>
            <a:ln w="2539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69856"/>
        <c:crosses val="autoZero"/>
        <c:crossBetween val="between"/>
        <c:majorUnit val="50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11350059737156512"/>
          <c:y val="0.8853046594982078"/>
          <c:w val="0.71326164874551967"/>
          <c:h val="8.7813620071684584E-2"/>
        </c:manualLayout>
      </c:layout>
      <c:overlay val="0"/>
      <c:spPr>
        <a:noFill/>
        <a:ln w="2539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уровня регистрируемой безработицы в Томском районе в 2010-2015 годах</a:t>
            </a:r>
          </a:p>
        </c:rich>
      </c:tx>
      <c:layout>
        <c:manualLayout>
          <c:xMode val="edge"/>
          <c:yMode val="edge"/>
          <c:x val="0.11236697247706422"/>
          <c:y val="1.4925277197493172E-2"/>
        </c:manualLayout>
      </c:layout>
      <c:overlay val="0"/>
      <c:spPr>
        <a:noFill/>
        <a:ln w="2541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42707505598505E-2"/>
          <c:y val="0.17596153092803699"/>
          <c:w val="0.91005810090614792"/>
          <c:h val="0.46377192749896162"/>
        </c:manualLayout>
      </c:layout>
      <c:lineChart>
        <c:grouping val="standard"/>
        <c:varyColors val="0"/>
        <c:ser>
          <c:idx val="0"/>
          <c:order val="0"/>
          <c:tx>
            <c:strRef>
              <c:f>'показатели для графиков'!$B$85</c:f>
              <c:strCache>
                <c:ptCount val="1"/>
                <c:pt idx="0">
                  <c:v>Уровень регистрируемой безработицы, в % к экономически активному населению</c:v>
                </c:pt>
              </c:strCache>
            </c:strRef>
          </c:tx>
          <c:spPr>
            <a:ln w="22233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9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0352834433897891E-2"/>
                  <c:y val="6.2470104590784253E-3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401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2549239150201E-2"/>
                  <c:y val="2.9209972204460775E-2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401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890787449386081E-2"/>
                  <c:y val="3.3385056158166643E-2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401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904589628999164E-2"/>
                  <c:y val="5.2161593323372148E-2"/>
                </c:manualLayout>
              </c:layout>
              <c:spPr>
                <a:noFill/>
                <a:ln w="25410">
                  <a:noFill/>
                </a:ln>
              </c:spPr>
              <c:txPr>
                <a:bodyPr/>
                <a:lstStyle/>
                <a:p>
                  <a:pPr>
                    <a:defRPr sz="1401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1" b="0" i="0" u="none" strike="noStrike" baseline="0">
                    <a:solidFill>
                      <a:srgbClr val="808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графиков'!$E$85:$J$85</c:f>
              <c:numCache>
                <c:formatCode>0.0</c:formatCode>
                <c:ptCount val="6"/>
                <c:pt idx="0">
                  <c:v>2.2000000000000002</c:v>
                </c:pt>
                <c:pt idx="1">
                  <c:v>1.4</c:v>
                </c:pt>
                <c:pt idx="2">
                  <c:v>1.1000000000000001</c:v>
                </c:pt>
                <c:pt idx="3">
                  <c:v>1</c:v>
                </c:pt>
                <c:pt idx="4">
                  <c:v>1</c:v>
                </c:pt>
                <c:pt idx="5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335224"/>
        <c:axId val="370336792"/>
      </c:lineChart>
      <c:catAx>
        <c:axId val="370335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0336792"/>
        <c:crosses val="autoZero"/>
        <c:auto val="1"/>
        <c:lblAlgn val="ctr"/>
        <c:lblOffset val="100"/>
        <c:noMultiLvlLbl val="0"/>
      </c:catAx>
      <c:valAx>
        <c:axId val="3703367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370335224"/>
        <c:crosses val="autoZero"/>
        <c:crossBetween val="between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3.5294117647058823E-2"/>
          <c:y val="0.77049180327868849"/>
          <c:w val="0.94117647058823528"/>
          <c:h val="0.19344262295081965"/>
        </c:manualLayout>
      </c:layout>
      <c:overlay val="0"/>
      <c:spPr>
        <a:noFill/>
        <a:ln w="25410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Сравнительная</a:t>
            </a:r>
            <a:r>
              <a:rPr lang="ru-RU" sz="1600" baseline="0"/>
              <a:t> динамика средней заработной платы Томского района и Томской области в 2010-2015 годах</a:t>
            </a:r>
            <a:endParaRPr lang="ru-RU" sz="1600"/>
          </a:p>
        </c:rich>
      </c:tx>
      <c:layout>
        <c:manualLayout>
          <c:xMode val="edge"/>
          <c:yMode val="edge"/>
          <c:x val="0.12774756928968783"/>
          <c:y val="6.7061956238521035E-3"/>
        </c:manualLayout>
      </c:layout>
      <c:overlay val="0"/>
      <c:spPr>
        <a:noFill/>
        <a:ln w="2540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28383145304212"/>
          <c:y val="0.15898702111563701"/>
          <c:w val="0.7604384977982187"/>
          <c:h val="0.56755645017356682"/>
        </c:manualLayout>
      </c:layout>
      <c:barChart>
        <c:barDir val="col"/>
        <c:grouping val="clustered"/>
        <c:varyColors val="0"/>
        <c:ser>
          <c:idx val="0"/>
          <c:order val="0"/>
          <c:tx>
            <c:v>Средняя заработная плата в Томском районе</c:v>
          </c:tx>
          <c:spPr>
            <a:solidFill>
              <a:srgbClr val="4F81BD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графиков'!$E$75:$J$75</c:f>
              <c:numCache>
                <c:formatCode>General</c:formatCode>
                <c:ptCount val="6"/>
                <c:pt idx="0">
                  <c:v>15.8</c:v>
                </c:pt>
                <c:pt idx="1">
                  <c:v>17.899999999999999</c:v>
                </c:pt>
                <c:pt idx="2">
                  <c:v>21.1</c:v>
                </c:pt>
                <c:pt idx="3">
                  <c:v>25.2</c:v>
                </c:pt>
                <c:pt idx="4">
                  <c:v>27.9</c:v>
                </c:pt>
                <c:pt idx="5">
                  <c:v>28.9</c:v>
                </c:pt>
              </c:numCache>
            </c:numRef>
          </c:val>
        </c:ser>
        <c:ser>
          <c:idx val="2"/>
          <c:order val="2"/>
          <c:tx>
            <c:v>Средняя заработная плата в Томской области</c:v>
          </c:tx>
          <c:spPr>
            <a:solidFill>
              <a:srgbClr val="9BBB59"/>
            </a:solidFill>
            <a:ln w="25404">
              <a:noFill/>
            </a:ln>
          </c:spPr>
          <c:invertIfNegative val="0"/>
          <c:dLbls>
            <c:dLbl>
              <c:idx val="5"/>
              <c:layout>
                <c:manualLayout>
                  <c:x val="-1.0723890235710052E-16"/>
                  <c:y val="4.47074321001474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графиков'!$E$80:$J$80</c:f>
              <c:numCache>
                <c:formatCode>General</c:formatCode>
                <c:ptCount val="6"/>
                <c:pt idx="0">
                  <c:v>21.5</c:v>
                </c:pt>
                <c:pt idx="1">
                  <c:v>24</c:v>
                </c:pt>
                <c:pt idx="2">
                  <c:v>27.4</c:v>
                </c:pt>
                <c:pt idx="3">
                  <c:v>30.4</c:v>
                </c:pt>
                <c:pt idx="4" formatCode="0.0">
                  <c:v>32</c:v>
                </c:pt>
                <c:pt idx="5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38194568"/>
        <c:axId val="238195352"/>
      </c:barChart>
      <c:lineChart>
        <c:grouping val="standard"/>
        <c:varyColors val="0"/>
        <c:ser>
          <c:idx val="1"/>
          <c:order val="1"/>
          <c:tx>
            <c:v>Темп роста средней заработной платы в Томском районе</c:v>
          </c:tx>
          <c:spPr>
            <a:ln w="2858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3870966850475656E-3"/>
                  <c:y val="3.1295202470103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7273469729724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9166944458549937E-3"/>
                  <c:y val="-2.8936445393039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57958513593749E-17"/>
                  <c:y val="-1.3816925734024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343492513551926E-3"/>
                  <c:y val="-2.2230330578017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5374513547549248E-3"/>
                  <c:y val="2.6800697435940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графиков'!$D$1:$I$1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'показатели для графиков'!$E$76:$J$76</c:f>
              <c:numCache>
                <c:formatCode>0.0</c:formatCode>
                <c:ptCount val="6"/>
                <c:pt idx="0">
                  <c:v>109.10025175018106</c:v>
                </c:pt>
                <c:pt idx="1">
                  <c:v>113.36523811631128</c:v>
                </c:pt>
                <c:pt idx="2">
                  <c:v>117.6003792103502</c:v>
                </c:pt>
                <c:pt idx="3">
                  <c:v>119.65136735884221</c:v>
                </c:pt>
                <c:pt idx="4">
                  <c:v>110.7</c:v>
                </c:pt>
                <c:pt idx="5">
                  <c:v>103.6</c:v>
                </c:pt>
              </c:numCache>
            </c:numRef>
          </c:val>
          <c:smooth val="0"/>
        </c:ser>
        <c:ser>
          <c:idx val="3"/>
          <c:order val="3"/>
          <c:tx>
            <c:v>Темп роста средней заработной платы в Томской области</c:v>
          </c:tx>
          <c:spPr>
            <a:ln w="2858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3870966850475656E-3"/>
                  <c:y val="-2.2353716050073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4712473127137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97458189874696E-3"/>
                  <c:y val="3.3935405153182802E-2"/>
                </c:manualLayout>
              </c:layout>
              <c:spPr>
                <a:noFill/>
                <a:ln w="25404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8063329410278633E-3"/>
                  <c:y val="3.44632696762865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247311233650437E-3"/>
                  <c:y val="3.2227898071279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335903888302774E-2"/>
                  <c:y val="-2.067064892750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графиков'!$D$1:$I$1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'показатели для графиков'!$E$81:$J$81</c:f>
              <c:numCache>
                <c:formatCode>0.0</c:formatCode>
                <c:ptCount val="6"/>
                <c:pt idx="0">
                  <c:v>111.39896373056995</c:v>
                </c:pt>
                <c:pt idx="1">
                  <c:v>111.62790697674419</c:v>
                </c:pt>
                <c:pt idx="2">
                  <c:v>114.16666666666666</c:v>
                </c:pt>
                <c:pt idx="3">
                  <c:v>110.94890510948905</c:v>
                </c:pt>
                <c:pt idx="4">
                  <c:v>105.26315789473684</c:v>
                </c:pt>
                <c:pt idx="5">
                  <c:v>104.06249999999999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5668464"/>
        <c:axId val="275668856"/>
      </c:lineChart>
      <c:catAx>
        <c:axId val="23819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195352"/>
        <c:crosses val="autoZero"/>
        <c:auto val="1"/>
        <c:lblAlgn val="ctr"/>
        <c:lblOffset val="100"/>
        <c:noMultiLvlLbl val="0"/>
      </c:catAx>
      <c:valAx>
        <c:axId val="2381953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тыс. руб.</a:t>
                </a:r>
              </a:p>
            </c:rich>
          </c:tx>
          <c:overlay val="0"/>
          <c:spPr>
            <a:noFill/>
            <a:ln w="25404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194568"/>
        <c:crosses val="autoZero"/>
        <c:crossBetween val="between"/>
      </c:valAx>
      <c:catAx>
        <c:axId val="275668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5668856"/>
        <c:crosses val="autoZero"/>
        <c:auto val="1"/>
        <c:lblAlgn val="ctr"/>
        <c:lblOffset val="100"/>
        <c:noMultiLvlLbl val="0"/>
      </c:catAx>
      <c:valAx>
        <c:axId val="275668856"/>
        <c:scaling>
          <c:orientation val="minMax"/>
          <c:max val="24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%</a:t>
                </a:r>
              </a:p>
            </c:rich>
          </c:tx>
          <c:overlay val="0"/>
          <c:spPr>
            <a:noFill/>
            <a:ln w="25404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668464"/>
        <c:crosses val="max"/>
        <c:crossBetween val="between"/>
        <c:majorUnit val="40"/>
      </c:valAx>
      <c:spPr>
        <a:noFill/>
        <a:ln w="25404">
          <a:noFill/>
        </a:ln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836065573770493E-2"/>
          <c:y val="0.8077669902912622"/>
          <c:w val="0.82597730138713743"/>
          <c:h val="0.13786407766990291"/>
        </c:manualLayout>
      </c:layout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 b="1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Динамика промышленного производства в Томском районе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 b="1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в 2010 - 2015 годах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879457559719823E-2"/>
          <c:y val="0.26910383645807057"/>
          <c:w val="0.88363933175777098"/>
          <c:h val="0.4345283015492184"/>
        </c:manualLayout>
      </c:layout>
      <c:lineChart>
        <c:grouping val="standard"/>
        <c:varyColors val="0"/>
        <c:ser>
          <c:idx val="0"/>
          <c:order val="0"/>
          <c:tx>
            <c:strRef>
              <c:f>'показатели для графиков'!$B$2</c:f>
              <c:strCache>
                <c:ptCount val="1"/>
                <c:pt idx="0">
                  <c:v>Объем промышленного производства, млрд. руб.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0352834433897891E-2"/>
                  <c:y val="6.247010459078425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2549239150201E-2"/>
                  <c:y val="2.920997220446077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664867926882881E-2"/>
                  <c:y val="6.06515698830079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711330658476183E-2"/>
                  <c:y val="8.58237301114456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808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графиков'!$E$2:$J$2</c:f>
              <c:numCache>
                <c:formatCode>General</c:formatCode>
                <c:ptCount val="6"/>
                <c:pt idx="0">
                  <c:v>6.4</c:v>
                </c:pt>
                <c:pt idx="1">
                  <c:v>6.5</c:v>
                </c:pt>
                <c:pt idx="2">
                  <c:v>11.8</c:v>
                </c:pt>
                <c:pt idx="3">
                  <c:v>12.1</c:v>
                </c:pt>
                <c:pt idx="4">
                  <c:v>11.9</c:v>
                </c:pt>
                <c:pt idx="5" formatCode="0.0">
                  <c:v>14.7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104912"/>
        <c:axId val="279227440"/>
      </c:lineChart>
      <c:catAx>
        <c:axId val="36910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9227440"/>
        <c:crosses val="autoZero"/>
        <c:auto val="1"/>
        <c:lblAlgn val="ctr"/>
        <c:lblOffset val="100"/>
        <c:noMultiLvlLbl val="0"/>
      </c:catAx>
      <c:valAx>
        <c:axId val="279227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104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9348127600554782E-2"/>
          <c:y val="0.84242424242424252"/>
          <c:w val="0.8571428571428571"/>
          <c:h val="0.1181818181818181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599" b="1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Динамика объема инвестиций в Томском районе </a:t>
            </a:r>
          </a:p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599" b="1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в 2010 - 2015 годах</a:t>
            </a:r>
          </a:p>
        </c:rich>
      </c:tx>
      <c:layout>
        <c:manualLayout>
          <c:xMode val="edge"/>
          <c:yMode val="edge"/>
          <c:x val="0.13433520809898764"/>
          <c:y val="2.07521225838673E-2"/>
        </c:manualLayout>
      </c:layout>
      <c:overlay val="0"/>
      <c:spPr>
        <a:noFill/>
        <a:ln w="2538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2922225554052722E-2"/>
          <c:y val="0.25350092453820477"/>
          <c:w val="0.87776397719522636"/>
          <c:h val="0.42302051108759547"/>
        </c:manualLayout>
      </c:layout>
      <c:lineChart>
        <c:grouping val="standard"/>
        <c:varyColors val="0"/>
        <c:ser>
          <c:idx val="0"/>
          <c:order val="0"/>
          <c:tx>
            <c:strRef>
              <c:f>'показатели для графиков'!$B$47</c:f>
              <c:strCache>
                <c:ptCount val="1"/>
                <c:pt idx="0">
                  <c:v>Инвестиции в основной капитал, млн.руб.</c:v>
                </c:pt>
              </c:strCache>
            </c:strRef>
          </c:tx>
          <c:spPr>
            <a:ln w="22209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18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7261229651992979E-2"/>
                  <c:y val="-5.0090939336808249E-2"/>
                </c:manualLayout>
              </c:layout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37469344829306E-2"/>
                  <c:y val="-9.285571697903959E-2"/>
                </c:manualLayout>
              </c:layout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870556983485833E-2"/>
                  <c:y val="7.5328823333702957E-2"/>
                </c:manualLayout>
              </c:layout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298754754101337E-2"/>
                  <c:y val="9.351521200694983E-2"/>
                </c:manualLayout>
              </c:layout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647917714948844E-2"/>
                  <c:y val="7.1739307234483018E-2"/>
                </c:manualLayout>
              </c:layout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8687482717510051E-2"/>
                  <c:y val="5.6549480610698311E-2"/>
                </c:manualLayout>
              </c:layout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9" b="0" i="0" u="none" strike="noStrike" baseline="0">
                    <a:solidFill>
                      <a:srgbClr val="808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графиков'!$E$47:$J$47</c:f>
              <c:numCache>
                <c:formatCode>General</c:formatCode>
                <c:ptCount val="6"/>
                <c:pt idx="0">
                  <c:v>1185.2</c:v>
                </c:pt>
                <c:pt idx="1">
                  <c:v>881.2</c:v>
                </c:pt>
                <c:pt idx="2">
                  <c:v>3846.9</c:v>
                </c:pt>
                <c:pt idx="3">
                  <c:v>4071.5</c:v>
                </c:pt>
                <c:pt idx="4" formatCode="0.0">
                  <c:v>1914</c:v>
                </c:pt>
                <c:pt idx="5">
                  <c:v>1257.0999999999999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713304"/>
        <c:axId val="506712912"/>
      </c:lineChart>
      <c:catAx>
        <c:axId val="506713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1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6712912"/>
        <c:crosses val="autoZero"/>
        <c:auto val="1"/>
        <c:lblAlgn val="ctr"/>
        <c:lblOffset val="100"/>
        <c:noMultiLvlLbl val="0"/>
      </c:catAx>
      <c:valAx>
        <c:axId val="5067129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671330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12303290414878397"/>
          <c:y val="0.81758957654723141"/>
          <c:w val="0.72675250357653787"/>
          <c:h val="0.15635179153094464"/>
        </c:manualLayout>
      </c:layout>
      <c:overlay val="0"/>
      <c:spPr>
        <a:noFill/>
        <a:ln w="25382">
          <a:noFill/>
        </a:ln>
      </c:spPr>
      <c:txPr>
        <a:bodyPr/>
        <a:lstStyle/>
        <a:p>
          <a:pPr>
            <a:defRPr sz="1284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1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ЖИЛИЩНОГО СТРОИТЕЛЬСТВА В ТОМСКОМ РАЙОНЕ В 2010-2015 ГОДАХ</a:t>
            </a:r>
          </a:p>
        </c:rich>
      </c:tx>
      <c:layout>
        <c:manualLayout>
          <c:xMode val="edge"/>
          <c:yMode val="edge"/>
          <c:x val="0.14009602841560972"/>
          <c:y val="1.359606168631906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1693818280355809E-2"/>
          <c:y val="0.13037376210326651"/>
          <c:w val="0.92685470484083698"/>
          <c:h val="0.63156046670636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'показатели для графиков'!$B$70</c:f>
              <c:strCache>
                <c:ptCount val="1"/>
                <c:pt idx="0">
                  <c:v>Ввод в действие жилых домов, кв.м.</c:v>
                </c:pt>
              </c:strCache>
            </c:strRef>
          </c:tx>
          <c:spPr>
            <a:pattFill prst="diagBrick">
              <a:fgClr>
                <a:schemeClr val="bg1"/>
              </a:fgClr>
              <a:bgClr>
                <a:schemeClr val="bg1">
                  <a:lumMod val="50000"/>
                </a:schemeClr>
              </a:bgClr>
            </a:patt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8.7791497727559703E-3"/>
                  <c:y val="-2.46498599439775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705533030341294E-2"/>
                  <c:y val="-2.016806722689067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168724659133957E-2"/>
                  <c:y val="-2.240896358543409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947874431889926E-2"/>
                  <c:y val="-1.568627450980392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411066060682589E-2"/>
                  <c:y val="-2.016806722689075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8851283699427682E-3"/>
                  <c:y val="1.328006412991481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графиков'!$E$70:$J$70</c:f>
              <c:numCache>
                <c:formatCode>General</c:formatCode>
                <c:ptCount val="6"/>
                <c:pt idx="0">
                  <c:v>15664</c:v>
                </c:pt>
                <c:pt idx="1">
                  <c:v>19599</c:v>
                </c:pt>
                <c:pt idx="2">
                  <c:v>22427</c:v>
                </c:pt>
                <c:pt idx="3">
                  <c:v>61625</c:v>
                </c:pt>
                <c:pt idx="4">
                  <c:v>115560</c:v>
                </c:pt>
                <c:pt idx="5">
                  <c:v>161432</c:v>
                </c:pt>
              </c:numCache>
            </c:numRef>
          </c:val>
        </c:ser>
        <c:ser>
          <c:idx val="1"/>
          <c:order val="1"/>
          <c:tx>
            <c:strRef>
              <c:f>'показатели для графиков'!$B$72</c:f>
              <c:strCache>
                <c:ptCount val="1"/>
                <c:pt idx="0">
                  <c:v>в т.ч. индивидуальное жилищное строительство, кв.м.</c:v>
                </c:pt>
              </c:strCache>
            </c:strRef>
          </c:tx>
          <c:spPr>
            <a:pattFill prst="diagBrick">
              <a:fgClr>
                <a:srgbClr val="FFFFFF"/>
              </a:fgClr>
              <a:bgClr>
                <a:srgbClr val="C00000"/>
              </a:bgClr>
            </a:pattFill>
            <a:ln w="25399">
              <a:noFill/>
            </a:ln>
          </c:spPr>
          <c:invertIfNegative val="0"/>
          <c:dLbls>
            <c:dLbl>
              <c:idx val="0"/>
              <c:layout>
                <c:manualLayout>
                  <c:x val="2.8257801922103826E-2"/>
                  <c:y val="-6.7226890756301701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9522736845792E-2"/>
                  <c:y val="-1.048316019321114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208997226994979E-2"/>
                  <c:y val="6.9805929431234889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55226889176253E-2"/>
                  <c:y val="-3.338565032312137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992010614057857E-2"/>
                  <c:y val="-1.352546448935262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776643304202358E-2"/>
                  <c:y val="-3.3096724978343224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'показатели для графиков'!$E$1:$J$1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'показатели для графиков'!$E$72:$J$72</c:f>
              <c:numCache>
                <c:formatCode>0</c:formatCode>
                <c:ptCount val="6"/>
                <c:pt idx="0">
                  <c:v>9525</c:v>
                </c:pt>
                <c:pt idx="1">
                  <c:v>11804</c:v>
                </c:pt>
                <c:pt idx="2">
                  <c:v>19741</c:v>
                </c:pt>
                <c:pt idx="3">
                  <c:v>49402</c:v>
                </c:pt>
                <c:pt idx="4">
                  <c:v>113200</c:v>
                </c:pt>
                <c:pt idx="5">
                  <c:v>123336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714872"/>
        <c:axId val="506712520"/>
      </c:barChart>
      <c:catAx>
        <c:axId val="506714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6712520"/>
        <c:crosses val="autoZero"/>
        <c:auto val="1"/>
        <c:lblAlgn val="ctr"/>
        <c:lblOffset val="100"/>
        <c:noMultiLvlLbl val="0"/>
      </c:catAx>
      <c:valAx>
        <c:axId val="5067125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67148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11630695443645084"/>
          <c:y val="0.86027944111776466"/>
          <c:w val="0.74700239808153468"/>
          <c:h val="0.10778443113772455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36B5-9D74-4826-AB76-C5FBD343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8741</CharactersWithSpaces>
  <SharedDoc>false</SharedDoc>
  <HLinks>
    <vt:vector size="6" baseType="variant"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mailto:economy@atr.tomsk.gov.ru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Наталья Сивач</cp:lastModifiedBy>
  <cp:revision>2</cp:revision>
  <cp:lastPrinted>2016-01-11T05:08:00Z</cp:lastPrinted>
  <dcterms:created xsi:type="dcterms:W3CDTF">2016-03-09T02:57:00Z</dcterms:created>
  <dcterms:modified xsi:type="dcterms:W3CDTF">2016-03-09T02:57:00Z</dcterms:modified>
</cp:coreProperties>
</file>