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r w:rsidRPr="00622715">
        <w:rPr>
          <w:rFonts w:ascii="Arial" w:hAnsi="Arial" w:cs="Arial"/>
          <w:b/>
          <w:color w:val="3B3B3B"/>
          <w:sz w:val="20"/>
          <w:szCs w:val="20"/>
        </w:rPr>
        <w:t>Пожар</w:t>
      </w:r>
      <w:r>
        <w:rPr>
          <w:rFonts w:ascii="Arial" w:hAnsi="Arial" w:cs="Arial"/>
          <w:color w:val="3B3B3B"/>
          <w:sz w:val="20"/>
          <w:szCs w:val="20"/>
        </w:rPr>
        <w:t xml:space="preserve"> - это неконтролируемое горение, причиняющее материальный ущерб, вред жизни и здоровью граждан, интересам общества и государств</w:t>
      </w:r>
      <w:bookmarkStart w:id="0" w:name="_GoBack"/>
      <w:bookmarkEnd w:id="0"/>
      <w:r>
        <w:rPr>
          <w:rFonts w:ascii="Arial" w:hAnsi="Arial" w:cs="Arial"/>
          <w:color w:val="3B3B3B"/>
          <w:sz w:val="20"/>
          <w:szCs w:val="20"/>
        </w:rPr>
        <w:t>а. Главными факторами пожара, приводящими к гибели людей и причиняющими материальный ущерб, являются высокая температура и токсичный состав продуктов горения. При пожаре нужно опасаться также обрушений конструкций зданий, взрывов технологического оборудования и приборов, провалов в прогнивший пол здания или грунт, падения подгоревших деревьев. Опасно входить в зону задымления.</w:t>
      </w: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t>Чтобы избежать пожара, необходимо знать основные причины его возникновения:</w:t>
      </w: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t>• Пожары от электроприборов возникают в случае перегрузки сети мощными потребителями, при неверном монтаже или ветхости электросетей, при пользовании неисправными электроприборами или приборами с открытыми спиралями и оставлении их без присмотра.</w:t>
      </w: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br/>
        <w:t>• Оставленные без присмотра топящиеся печи, применение для их розжига бензина, отсутствие противопожарной разделки.</w:t>
      </w: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br/>
        <w:t>• Пожары от детской шалости с огнем. Виноваты в этом чаще взрослые, которые оставляют детей одних дома, не прячут спички, не контролируют действия и игры детей.</w:t>
      </w: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br/>
        <w:t xml:space="preserve">• Пожары на транспорте при неисправных </w:t>
      </w:r>
      <w:proofErr w:type="spellStart"/>
      <w:r>
        <w:rPr>
          <w:rFonts w:ascii="Arial" w:hAnsi="Arial" w:cs="Arial"/>
          <w:color w:val="3B3B3B"/>
          <w:sz w:val="20"/>
          <w:szCs w:val="20"/>
        </w:rPr>
        <w:t>электро</w:t>
      </w:r>
      <w:proofErr w:type="spellEnd"/>
      <w:r>
        <w:rPr>
          <w:rFonts w:ascii="Arial" w:hAnsi="Arial" w:cs="Arial"/>
          <w:color w:val="3B3B3B"/>
          <w:sz w:val="20"/>
          <w:szCs w:val="20"/>
        </w:rPr>
        <w:t xml:space="preserve"> и топливных приборах.</w:t>
      </w: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br/>
        <w:t>• Нарушение правил проведения электрогазосварочных и огневых работ - частая причина пожаров.</w:t>
      </w: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br/>
        <w:t>• Пожары от бытовых газовых приборов, неисправных либо оставленных без присмотра.</w:t>
      </w: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t>Соблюдайте меры предосторожности:</w:t>
      </w: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t>Помните! При пожаре всегда нужно сохранять хладнокровие, избегать паники, вызвать пожарную охрану по стационарному телефону «01» или по мобильному телефону «010», принять необходимые меры для спасения себя и своих близких, организовать встречу пожарных и показать кратчайший путь к очагу возгорания.</w:t>
      </w: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t xml:space="preserve">При вызове пожарной помощи необходимо сообщить </w:t>
      </w:r>
      <w:proofErr w:type="spellStart"/>
      <w:r>
        <w:rPr>
          <w:rFonts w:ascii="Arial" w:hAnsi="Arial" w:cs="Arial"/>
          <w:color w:val="3B3B3B"/>
          <w:sz w:val="20"/>
          <w:szCs w:val="20"/>
        </w:rPr>
        <w:t>диспетчеру</w:t>
      </w:r>
      <w:proofErr w:type="gramStart"/>
      <w:r>
        <w:rPr>
          <w:rFonts w:ascii="Arial" w:hAnsi="Arial" w:cs="Arial"/>
          <w:color w:val="3B3B3B"/>
          <w:sz w:val="20"/>
          <w:szCs w:val="20"/>
        </w:rPr>
        <w:t>:п</w:t>
      </w:r>
      <w:proofErr w:type="gramEnd"/>
      <w:r>
        <w:rPr>
          <w:rFonts w:ascii="Arial" w:hAnsi="Arial" w:cs="Arial"/>
          <w:color w:val="3B3B3B"/>
          <w:sz w:val="20"/>
          <w:szCs w:val="20"/>
        </w:rPr>
        <w:t>олный</w:t>
      </w:r>
      <w:proofErr w:type="spellEnd"/>
      <w:r>
        <w:rPr>
          <w:rFonts w:ascii="Arial" w:hAnsi="Arial" w:cs="Arial"/>
          <w:color w:val="3B3B3B"/>
          <w:sz w:val="20"/>
          <w:szCs w:val="20"/>
        </w:rPr>
        <w:t xml:space="preserve"> адрес (название населенного пункта, улицы, номер и этажность дома, номер квартиры и этаж, где произошел пожар);</w:t>
      </w: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t>Помните! Тушить водой электроприборы под напряжением опасно для жизни!</w:t>
      </w: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t>Помните:</w:t>
      </w: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t>• Нарушение правил проведения электрогазосварочных и огневых работ - частая причина пожаров.</w:t>
      </w: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br/>
        <w:t>• Пожары от бытовых газовых приборов, неисправных либо оставленных без присмотра.</w:t>
      </w: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br/>
        <w:t>• Горящие легковоспламеняющиеся жидкости необходимо тушить с помощью огнетушителя, песка или плотной ткани.</w:t>
      </w: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t> </w:t>
      </w:r>
      <w:r>
        <w:rPr>
          <w:rFonts w:ascii="Arial" w:hAnsi="Arial" w:cs="Arial"/>
          <w:color w:val="3B3B3B"/>
          <w:sz w:val="20"/>
          <w:szCs w:val="20"/>
        </w:rPr>
        <w:br/>
        <w:t>• Горящий телевизор отключите прежде от сети, накройте плотной тканью. </w:t>
      </w: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br/>
        <w:t>• При горении жира на сковороде накройте ее крышкой или плотной мокрой тканью, оставьте остывать на полчаса. Тушить жир водой нельзя. При попадании горящего жира на пол или стены для тушения можно использовать стиральный порошок или землю из цветочных горшков.</w:t>
      </w: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br/>
        <w:t>• При пожаре на лестничной клетке, до прибытия пожарных вам необходимо принять меры к тому, чтобы задержать проникновение дыма и огня в квартиру.</w:t>
      </w: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t>Если на человеке загорелась одежда: При ожогах охладите обожженную поверхность холодной водой, наложите стерильную повязку и вызовите скорую помощь. Запрещено снимать или отрывать одежду с обгоревших участков смазывать чем-либо обожженную поверхность (йодом, маслом, зеленкой).</w:t>
      </w: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p>
    <w:p w:rsidR="00622715" w:rsidRDefault="00622715" w:rsidP="00622715">
      <w:pPr>
        <w:pStyle w:val="a3"/>
        <w:shd w:val="clear" w:color="auto" w:fill="FFFFFF"/>
        <w:spacing w:before="0" w:beforeAutospacing="0" w:after="0" w:afterAutospacing="0"/>
        <w:jc w:val="both"/>
        <w:rPr>
          <w:rFonts w:ascii="Arial" w:hAnsi="Arial" w:cs="Arial"/>
          <w:color w:val="3B3B3B"/>
          <w:sz w:val="20"/>
          <w:szCs w:val="20"/>
        </w:rPr>
      </w:pPr>
      <w:r>
        <w:rPr>
          <w:rFonts w:ascii="Arial" w:hAnsi="Arial" w:cs="Arial"/>
          <w:color w:val="3B3B3B"/>
          <w:sz w:val="20"/>
          <w:szCs w:val="20"/>
        </w:rPr>
        <w:t>При отравлении угарным газом срочно вынесите пострадавшего на свежий воздух, освободите от тесной одежды, при необходимости немедленно приступите к искусственному дыханию, доставьте в лечебное учреждение.</w:t>
      </w:r>
    </w:p>
    <w:p w:rsidR="004D2B15" w:rsidRDefault="004D2B15"/>
    <w:sectPr w:rsidR="004D2B15" w:rsidSect="0062271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15"/>
    <w:rsid w:val="004D2B15"/>
    <w:rsid w:val="00622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27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27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Анастасия</dc:creator>
  <cp:lastModifiedBy>Сорокина Анастасия</cp:lastModifiedBy>
  <cp:revision>1</cp:revision>
  <dcterms:created xsi:type="dcterms:W3CDTF">2024-10-24T03:00:00Z</dcterms:created>
  <dcterms:modified xsi:type="dcterms:W3CDTF">2024-10-24T03:00:00Z</dcterms:modified>
</cp:coreProperties>
</file>