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28" w:rsidRDefault="00840928" w:rsidP="00840928">
      <w:pPr>
        <w:tabs>
          <w:tab w:val="left" w:pos="3402"/>
        </w:tabs>
        <w:spacing w:after="0" w:line="252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</w:p>
    <w:p w:rsidR="00840928" w:rsidRDefault="00840928" w:rsidP="0084092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40928" w:rsidRDefault="003D5574" w:rsidP="0084092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0"/>
          <w:szCs w:val="20"/>
          <w:lang w:eastAsia="ru-RU"/>
        </w:rPr>
        <w:object w:dxaOrig="84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15pt;height:28.9pt" o:ole="" fillcolor="window">
            <v:imagedata r:id="rId8" o:title=""/>
          </v:shape>
          <o:OLEObject Type="Embed" ProgID="Word.Picture.8" ShapeID="_x0000_i1025" DrawAspect="Content" ObjectID="_1589702600" r:id="rId9"/>
        </w:object>
      </w:r>
    </w:p>
    <w:p w:rsidR="00840928" w:rsidRPr="00840928" w:rsidRDefault="00840928" w:rsidP="0084092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0928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 «Томский район»</w:t>
      </w:r>
    </w:p>
    <w:p w:rsidR="00840928" w:rsidRPr="00840928" w:rsidRDefault="00840928" w:rsidP="00840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0928">
        <w:rPr>
          <w:rFonts w:ascii="Times New Roman" w:hAnsi="Times New Roman"/>
          <w:b/>
          <w:sz w:val="24"/>
          <w:szCs w:val="24"/>
          <w:lang w:eastAsia="ru-RU"/>
        </w:rPr>
        <w:t>Дума Томского района</w:t>
      </w:r>
    </w:p>
    <w:p w:rsidR="00840928" w:rsidRPr="00840928" w:rsidRDefault="00840928" w:rsidP="00840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0928"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840928" w:rsidRPr="003D5574" w:rsidRDefault="003D5574" w:rsidP="00840928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пр. Фрунзе</w:t>
      </w:r>
      <w:r w:rsidR="00840928">
        <w:rPr>
          <w:rFonts w:ascii="Times New Roman" w:hAnsi="Times New Roman"/>
          <w:sz w:val="20"/>
          <w:szCs w:val="20"/>
          <w:lang w:eastAsia="ru-RU"/>
        </w:rPr>
        <w:t>, 59а</w:t>
      </w:r>
      <w:r>
        <w:rPr>
          <w:rFonts w:ascii="Times New Roman" w:hAnsi="Times New Roman"/>
          <w:sz w:val="20"/>
          <w:szCs w:val="20"/>
          <w:lang w:eastAsia="ru-RU"/>
        </w:rPr>
        <w:t>,  г. Томск, Россия, 634061,</w:t>
      </w:r>
      <w:r w:rsidR="00840928">
        <w:rPr>
          <w:rFonts w:ascii="Times New Roman" w:hAnsi="Times New Roman"/>
          <w:sz w:val="20"/>
          <w:szCs w:val="20"/>
          <w:lang w:eastAsia="ru-RU"/>
        </w:rPr>
        <w:t xml:space="preserve"> тел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840928" w:rsidRPr="003D5574">
        <w:rPr>
          <w:rFonts w:ascii="Times New Roman" w:hAnsi="Times New Roman"/>
          <w:sz w:val="20"/>
          <w:szCs w:val="20"/>
          <w:lang w:val="en-US" w:eastAsia="ru-RU"/>
        </w:rPr>
        <w:t>(</w:t>
      </w:r>
      <w:r w:rsidR="00840928">
        <w:rPr>
          <w:rFonts w:ascii="Times New Roman" w:hAnsi="Times New Roman"/>
          <w:sz w:val="20"/>
          <w:szCs w:val="20"/>
          <w:lang w:eastAsia="ru-RU"/>
        </w:rPr>
        <w:t>факс</w:t>
      </w:r>
      <w:r w:rsidR="00840928" w:rsidRPr="003D5574">
        <w:rPr>
          <w:rFonts w:ascii="Times New Roman" w:hAnsi="Times New Roman"/>
          <w:sz w:val="20"/>
          <w:szCs w:val="20"/>
          <w:lang w:val="en-US" w:eastAsia="ru-RU"/>
        </w:rPr>
        <w:t>)</w:t>
      </w:r>
      <w:r w:rsidRPr="003D5574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ru-RU"/>
        </w:rPr>
        <w:t>4</w:t>
      </w:r>
      <w:r w:rsidRPr="003D5574">
        <w:rPr>
          <w:rFonts w:ascii="Times New Roman" w:hAnsi="Times New Roman"/>
          <w:sz w:val="20"/>
          <w:szCs w:val="20"/>
          <w:lang w:val="en-US" w:eastAsia="ru-RU"/>
        </w:rPr>
        <w:t>4-22-61</w:t>
      </w:r>
      <w:r w:rsidR="00840928" w:rsidRPr="003D5574">
        <w:rPr>
          <w:rFonts w:ascii="Times New Roman" w:hAnsi="Times New Roman"/>
          <w:sz w:val="28"/>
          <w:szCs w:val="20"/>
          <w:lang w:val="en-US" w:eastAsia="ru-RU"/>
        </w:rPr>
        <w:br/>
      </w:r>
      <w:r w:rsidR="00840928">
        <w:rPr>
          <w:rFonts w:ascii="Times New Roman" w:hAnsi="Times New Roman"/>
          <w:sz w:val="18"/>
          <w:szCs w:val="20"/>
          <w:lang w:val="en-US" w:eastAsia="ru-RU"/>
        </w:rPr>
        <w:t>e</w:t>
      </w:r>
      <w:r w:rsidR="00840928" w:rsidRPr="003D5574">
        <w:rPr>
          <w:rFonts w:ascii="Times New Roman" w:hAnsi="Times New Roman"/>
          <w:sz w:val="18"/>
          <w:szCs w:val="20"/>
          <w:lang w:val="en-US" w:eastAsia="ru-RU"/>
        </w:rPr>
        <w:t>-</w:t>
      </w:r>
      <w:r w:rsidR="00840928">
        <w:rPr>
          <w:rFonts w:ascii="Times New Roman" w:hAnsi="Times New Roman"/>
          <w:sz w:val="18"/>
          <w:szCs w:val="20"/>
          <w:lang w:val="en-US" w:eastAsia="ru-RU"/>
        </w:rPr>
        <w:t>mail</w:t>
      </w:r>
      <w:r w:rsidR="00840928" w:rsidRPr="003D5574">
        <w:rPr>
          <w:rFonts w:ascii="Times New Roman" w:hAnsi="Times New Roman"/>
          <w:sz w:val="18"/>
          <w:szCs w:val="20"/>
          <w:lang w:val="en-US" w:eastAsia="ru-RU"/>
        </w:rPr>
        <w:t xml:space="preserve">: </w:t>
      </w:r>
      <w:hyperlink r:id="rId10" w:history="1">
        <w:r w:rsidR="00840928" w:rsidRPr="003D5574">
          <w:rPr>
            <w:rStyle w:val="a5"/>
            <w:rFonts w:ascii="Times New Roman" w:hAnsi="Times New Roman"/>
            <w:color w:val="auto"/>
            <w:sz w:val="18"/>
            <w:szCs w:val="20"/>
            <w:u w:val="none"/>
            <w:lang w:val="en-US" w:eastAsia="ru-RU"/>
          </w:rPr>
          <w:t>sptr@atr.tomsk.gov.ru</w:t>
        </w:r>
      </w:hyperlink>
    </w:p>
    <w:p w:rsidR="00840928" w:rsidRPr="003D5574" w:rsidRDefault="00840928" w:rsidP="00840928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val="en-US" w:eastAsia="ru-RU"/>
        </w:rPr>
      </w:pPr>
    </w:p>
    <w:p w:rsidR="00840928" w:rsidRPr="003D5574" w:rsidRDefault="00840928" w:rsidP="008409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840928" w:rsidRDefault="00840928" w:rsidP="008409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Заключение № 14</w:t>
      </w:r>
    </w:p>
    <w:p w:rsidR="00840928" w:rsidRDefault="00840928" w:rsidP="00840928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по итогам внешней проверки отчёта об исполнении бюджета </w:t>
      </w:r>
    </w:p>
    <w:p w:rsidR="00840928" w:rsidRDefault="00840928" w:rsidP="00840928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Калтайского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574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2017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840928" w:rsidRDefault="00840928" w:rsidP="00840928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5574" w:rsidRDefault="00840928" w:rsidP="003D5574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</w:t>
      </w:r>
      <w:r w:rsidR="003D557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Томск                                                                                                           </w:t>
      </w:r>
      <w:r w:rsidR="003D5574">
        <w:rPr>
          <w:rFonts w:ascii="Times New Roman" w:hAnsi="Times New Roman"/>
          <w:sz w:val="24"/>
          <w:szCs w:val="24"/>
          <w:lang w:eastAsia="ru-RU"/>
        </w:rPr>
        <w:t xml:space="preserve">                27.04.2018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3D5574" w:rsidRDefault="003D5574" w:rsidP="003D5574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5574" w:rsidRPr="003D5574" w:rsidRDefault="00840928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Основание для проведения экспертно-аналитического мероприятия:</w:t>
      </w:r>
      <w:r w:rsidR="003D5574" w:rsidRPr="003D5574">
        <w:t xml:space="preserve"> </w:t>
      </w:r>
    </w:p>
    <w:p w:rsidR="003D5574" w:rsidRDefault="003D5574" w:rsidP="003D5574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TimesNewRoman"/>
          <w:rFonts w:ascii="Times New Roman" w:hAnsi="Times New Roman"/>
        </w:rPr>
        <w:t xml:space="preserve">Статьи 157, 264.4 Бюджетного кодекса Российской Федерации, пункт 10 статьи 5 </w:t>
      </w:r>
      <w:proofErr w:type="gramStart"/>
      <w:r>
        <w:rPr>
          <w:rStyle w:val="TimesNewRoman"/>
          <w:rFonts w:ascii="Times New Roman" w:hAnsi="Times New Roman"/>
        </w:rPr>
        <w:t>Положения «О Счетной палате муниципального образования «Томский район», утвержденного решением Думы Томского района от 27.12.2012г.  № 203,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пункт 2.9 плана работы Счетной палаты муниципального образования «Томский район» на 2018 год, утвержденного распоряжением Счетной палаты  от 28.12.2017г.  № 16, распоряжением Счетной палаты от 16.03.2018г № 7 «О проведении внешней проверки </w:t>
      </w:r>
      <w:proofErr w:type="gramEnd"/>
      <w:r>
        <w:rPr>
          <w:rFonts w:ascii="Times New Roman" w:hAnsi="Times New Roman"/>
          <w:sz w:val="24"/>
          <w:szCs w:val="24"/>
        </w:rPr>
        <w:t>годовых отчетов об исполнении бюджета поселений, расположенных в границах Томского района, за 2017 год», Соглашение «О передаче полномочий по осуществлению внешней проверки годового отчета об исполнении бюджета Спасского сельского поселения» от 30.03.2017 № 18, а также по обращению Совета Спасского сельского поселения от 29.03.2018 № 16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0928" w:rsidRPr="003D5574" w:rsidRDefault="00840928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3D5574" w:rsidRDefault="00840928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Определение соответствия 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требованиям бюджетного законодательства, оценка достоверности и полноты составления и представления и предоставления годовой бюджетной отчетности,</w:t>
      </w:r>
      <w:r w:rsidR="007E7C0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выявление возможных нарушений, недостатков и их последствий. </w:t>
      </w:r>
    </w:p>
    <w:p w:rsidR="003D5574" w:rsidRDefault="00840928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3D5574" w:rsidRDefault="00840928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="007E7C0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3D5574" w:rsidRDefault="00840928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840928" w:rsidRDefault="00840928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40928" w:rsidRDefault="007E7C0A" w:rsidP="003D5574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</w:t>
      </w:r>
      <w:r w:rsidR="00840928">
        <w:rPr>
          <w:rFonts w:ascii="Times New Roman" w:hAnsi="Times New Roman"/>
          <w:b/>
          <w:sz w:val="24"/>
          <w:szCs w:val="24"/>
          <w:lang w:eastAsia="ru-RU"/>
        </w:rPr>
        <w:t xml:space="preserve">экспертно-аналитического мероприятия: </w:t>
      </w:r>
      <w:r w:rsidR="00840928">
        <w:rPr>
          <w:rFonts w:ascii="Times New Roman" w:hAnsi="Times New Roman"/>
          <w:sz w:val="24"/>
          <w:szCs w:val="24"/>
        </w:rPr>
        <w:t>Провер</w:t>
      </w:r>
      <w:r w:rsidR="003D5574">
        <w:rPr>
          <w:rFonts w:ascii="Times New Roman" w:hAnsi="Times New Roman"/>
          <w:sz w:val="24"/>
          <w:szCs w:val="24"/>
        </w:rPr>
        <w:t>ка проводилась с 01 апреля по 27 апреля 2018</w:t>
      </w:r>
      <w:r w:rsidR="00840928">
        <w:rPr>
          <w:rFonts w:ascii="Times New Roman" w:hAnsi="Times New Roman"/>
          <w:sz w:val="24"/>
          <w:szCs w:val="24"/>
        </w:rPr>
        <w:t>г. в помещении Счетно</w:t>
      </w:r>
      <w:r w:rsidR="003D5574">
        <w:rPr>
          <w:rFonts w:ascii="Times New Roman" w:hAnsi="Times New Roman"/>
          <w:sz w:val="24"/>
          <w:szCs w:val="24"/>
        </w:rPr>
        <w:t>й палаты по адресу: г. Томск, пр. Фрунзе, 59а</w:t>
      </w:r>
      <w:r w:rsidR="00840928">
        <w:rPr>
          <w:rFonts w:ascii="Times New Roman" w:hAnsi="Times New Roman"/>
          <w:sz w:val="24"/>
          <w:szCs w:val="24"/>
        </w:rPr>
        <w:t>.</w:t>
      </w:r>
    </w:p>
    <w:p w:rsidR="00840928" w:rsidRDefault="00840928" w:rsidP="00840928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0928" w:rsidRDefault="00840928" w:rsidP="00840928">
      <w:pPr>
        <w:keepNext/>
        <w:spacing w:after="0" w:line="240" w:lineRule="auto"/>
        <w:ind w:left="-709" w:right="-1" w:firstLine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мероприятия:</w:t>
      </w:r>
    </w:p>
    <w:p w:rsidR="00840928" w:rsidRDefault="00840928" w:rsidP="00840928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0928" w:rsidRDefault="00840928" w:rsidP="00840928">
      <w:pPr>
        <w:tabs>
          <w:tab w:val="left" w:pos="3402"/>
        </w:tabs>
        <w:spacing w:after="0" w:line="252" w:lineRule="auto"/>
        <w:ind w:left="-709" w:right="-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b/>
          <w:sz w:val="25"/>
          <w:szCs w:val="25"/>
          <w:lang w:eastAsia="ru-RU"/>
        </w:rPr>
        <w:t>бщая информация.</w:t>
      </w:r>
    </w:p>
    <w:p w:rsidR="00840928" w:rsidRDefault="00840928" w:rsidP="00840928">
      <w:pPr>
        <w:tabs>
          <w:tab w:val="left" w:pos="3402"/>
        </w:tabs>
        <w:spacing w:after="0" w:line="252" w:lineRule="auto"/>
        <w:ind w:left="-709" w:right="-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241–ОЗ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Официальное наименование муниципального образования - муниципальное образование "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поселение" (далее – поселение).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является село Калтай.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 В целях установления единого порядка составления и представления отчетности об исполнении бюджета, приказом Министерства финансов РФ  от 28.12.2010 </w:t>
      </w:r>
      <w:r w:rsidR="003D5574">
        <w:rPr>
          <w:rFonts w:ascii="Times New Roman" w:hAnsi="Times New Roman"/>
          <w:sz w:val="24"/>
          <w:szCs w:val="24"/>
          <w:lang w:eastAsia="ru-RU"/>
        </w:rPr>
        <w:t>№ 191н (в редакции от 02.11.2017 № 176н</w:t>
      </w:r>
      <w:r>
        <w:rPr>
          <w:rFonts w:ascii="Times New Roman" w:hAnsi="Times New Roman"/>
          <w:sz w:val="24"/>
          <w:szCs w:val="24"/>
          <w:lang w:eastAsia="ru-RU"/>
        </w:rPr>
        <w:t>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</w:t>
      </w:r>
      <w:r w:rsidR="003D5574">
        <w:rPr>
          <w:rFonts w:ascii="Times New Roman" w:hAnsi="Times New Roman"/>
          <w:sz w:val="24"/>
          <w:szCs w:val="24"/>
          <w:lang w:eastAsia="ru-RU"/>
        </w:rPr>
        <w:t xml:space="preserve"> № 191н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При проверке использованы: отчет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="003D557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7E7C0A" w:rsidRPr="007E7C0A">
        <w:rPr>
          <w:rFonts w:ascii="Times New Roman" w:hAnsi="Times New Roman"/>
          <w:sz w:val="24"/>
          <w:szCs w:val="24"/>
          <w:lang w:eastAsia="ru-RU"/>
        </w:rPr>
        <w:t xml:space="preserve">от 28.12.2016 № </w:t>
      </w:r>
      <w:r w:rsidR="007E7C0A">
        <w:rPr>
          <w:rFonts w:ascii="Times New Roman" w:hAnsi="Times New Roman"/>
          <w:sz w:val="24"/>
          <w:szCs w:val="24"/>
          <w:lang w:eastAsia="ru-RU"/>
        </w:rPr>
        <w:t>219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 w:rsidR="007E7C0A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7E7C0A">
        <w:rPr>
          <w:rFonts w:ascii="Times New Roman" w:hAnsi="Times New Roman"/>
          <w:sz w:val="24"/>
          <w:szCs w:val="24"/>
        </w:rPr>
        <w:t>Калтайское</w:t>
      </w:r>
      <w:proofErr w:type="spellEnd"/>
      <w:r w:rsidR="007E7C0A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на 2017 год», </w:t>
      </w:r>
      <w:r>
        <w:rPr>
          <w:rFonts w:ascii="Times New Roman" w:hAnsi="Times New Roman"/>
          <w:sz w:val="24"/>
          <w:szCs w:val="24"/>
          <w:lang w:eastAsia="ru-RU"/>
        </w:rPr>
        <w:t xml:space="preserve"> отчет по посту</w:t>
      </w:r>
      <w:r w:rsidR="007E7C0A">
        <w:rPr>
          <w:rFonts w:ascii="Times New Roman" w:hAnsi="Times New Roman"/>
          <w:sz w:val="24"/>
          <w:szCs w:val="24"/>
          <w:lang w:eastAsia="ru-RU"/>
        </w:rPr>
        <w:t>плениям и выбытиям на 01.01.2018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области, бюджетная отчетность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7E7C0A">
        <w:rPr>
          <w:rFonts w:ascii="Times New Roman" w:hAnsi="Times New Roman"/>
          <w:sz w:val="24"/>
          <w:lang w:eastAsia="ru-RU"/>
        </w:rPr>
        <w:t xml:space="preserve"> за 2017 год </w:t>
      </w:r>
      <w:r>
        <w:rPr>
          <w:rFonts w:ascii="Times New Roman" w:hAnsi="Times New Roman"/>
          <w:sz w:val="24"/>
          <w:lang w:eastAsia="ru-RU"/>
        </w:rPr>
        <w:t xml:space="preserve"> и другие документы.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proofErr w:type="spellStart"/>
      <w:r w:rsidRPr="007E7C0A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7E7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 от </w:t>
      </w:r>
      <w:r w:rsidR="007E7C0A">
        <w:rPr>
          <w:rFonts w:ascii="Times New Roman" w:hAnsi="Times New Roman"/>
          <w:sz w:val="24"/>
          <w:szCs w:val="24"/>
          <w:lang w:eastAsia="ru-RU"/>
        </w:rPr>
        <w:t xml:space="preserve">28.12.2016 № 219 </w:t>
      </w:r>
      <w:r w:rsidR="007E7C0A">
        <w:rPr>
          <w:rFonts w:ascii="Times New Roman" w:hAnsi="Times New Roman"/>
          <w:sz w:val="24"/>
          <w:szCs w:val="24"/>
        </w:rPr>
        <w:t xml:space="preserve"> в него вносились изменения 11</w:t>
      </w:r>
      <w:r>
        <w:rPr>
          <w:rFonts w:ascii="Times New Roman" w:hAnsi="Times New Roman"/>
          <w:sz w:val="24"/>
          <w:szCs w:val="24"/>
        </w:rPr>
        <w:t xml:space="preserve"> раз.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7E7C0A" w:rsidRDefault="007E7C0A" w:rsidP="007E7C0A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Изменения основных характеристик бюджета в 2017 году приведены в таблице 1.</w:t>
      </w:r>
    </w:p>
    <w:p w:rsidR="007E7C0A" w:rsidRDefault="007E7C0A" w:rsidP="007E7C0A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7E7C0A" w:rsidRDefault="007E7C0A" w:rsidP="007E7C0A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Таблица 1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тыс</w:t>
      </w:r>
      <w:proofErr w:type="gramStart"/>
      <w:r>
        <w:rPr>
          <w:rFonts w:ascii="Times New Roman" w:hAnsi="Times New Roman"/>
          <w:sz w:val="24"/>
          <w:szCs w:val="28"/>
        </w:rPr>
        <w:t>.р</w:t>
      </w:r>
      <w:proofErr w:type="gramEnd"/>
      <w:r>
        <w:rPr>
          <w:rFonts w:ascii="Times New Roman" w:hAnsi="Times New Roman"/>
          <w:sz w:val="24"/>
          <w:szCs w:val="28"/>
        </w:rPr>
        <w:t>ублей</w:t>
      </w:r>
      <w:proofErr w:type="spellEnd"/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34"/>
        <w:gridCol w:w="1560"/>
        <w:gridCol w:w="993"/>
        <w:gridCol w:w="1135"/>
        <w:gridCol w:w="1135"/>
        <w:gridCol w:w="994"/>
        <w:gridCol w:w="851"/>
      </w:tblGrid>
      <w:tr w:rsidR="007E7C0A" w:rsidTr="001C7815">
        <w:trPr>
          <w:trHeight w:val="2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0A" w:rsidRDefault="007E7C0A" w:rsidP="001C7815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7C0A" w:rsidRDefault="007E7C0A" w:rsidP="001C7815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7E7C0A" w:rsidRDefault="007E7C0A" w:rsidP="001C781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(гр.2 - гр.3)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7E7C0A" w:rsidRDefault="007E7C0A" w:rsidP="001C781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(гр.6-гр.5)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Испол-нение</w:t>
            </w:r>
            <w:proofErr w:type="spellEnd"/>
            <w:proofErr w:type="gramEnd"/>
          </w:p>
          <w:p w:rsidR="007E7C0A" w:rsidRDefault="007E7C0A" w:rsidP="001C7815">
            <w:pPr>
              <w:ind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7E7C0A" w:rsidTr="001C7815">
        <w:trPr>
          <w:trHeight w:val="118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0A" w:rsidRDefault="007E7C0A" w:rsidP="001C7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Совета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посе-ления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23 от 28.12.2017              (с учетом изменений)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0A" w:rsidRDefault="007E7C0A" w:rsidP="001C7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0A" w:rsidRDefault="007E7C0A" w:rsidP="001C7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0A" w:rsidRDefault="007E7C0A" w:rsidP="001C78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C0A" w:rsidTr="001C7815">
        <w:trPr>
          <w:trHeight w:val="2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0A" w:rsidRDefault="007E7C0A" w:rsidP="001C78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0F6E" w:rsidTr="001C7815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7E7C0A" w:rsidRDefault="009F0F6E" w:rsidP="001C7815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7C0A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</w:tr>
      <w:tr w:rsidR="009F0F6E" w:rsidTr="001C7815">
        <w:trPr>
          <w:trHeight w:val="3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7E7C0A" w:rsidRDefault="009F0F6E" w:rsidP="001C7815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7C0A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9F0F6E" w:rsidTr="001C7815">
        <w:trPr>
          <w:trHeight w:val="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7E7C0A" w:rsidRDefault="009F0F6E" w:rsidP="001C7815">
            <w:pPr>
              <w:ind w:left="-95" w:right="-94"/>
              <w:rPr>
                <w:rFonts w:ascii="Times New Roman" w:hAnsi="Times New Roman"/>
                <w:sz w:val="24"/>
                <w:szCs w:val="24"/>
              </w:rPr>
            </w:pPr>
            <w:r w:rsidRPr="007E7C0A"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Default="009F0F6E" w:rsidP="001C7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7E7C0A" w:rsidRDefault="007E7C0A" w:rsidP="007E7C0A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C0A" w:rsidRDefault="009F0F6E" w:rsidP="007E7C0A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="007E7C0A">
        <w:rPr>
          <w:rFonts w:ascii="Times New Roman" w:hAnsi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hAnsi="Times New Roman"/>
          <w:sz w:val="24"/>
          <w:szCs w:val="24"/>
          <w:lang w:eastAsia="ru-RU"/>
        </w:rPr>
        <w:t>о поселения от 28.12.2016г № 219</w:t>
      </w:r>
      <w:r w:rsidR="007E7C0A">
        <w:rPr>
          <w:rFonts w:ascii="Times New Roman" w:hAnsi="Times New Roman"/>
          <w:sz w:val="24"/>
          <w:szCs w:val="24"/>
          <w:lang w:eastAsia="ru-RU"/>
        </w:rPr>
        <w:t xml:space="preserve"> (с изменениями) утвержден дефицит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1900,0</w:t>
      </w:r>
      <w:r w:rsidR="007E7C0A">
        <w:rPr>
          <w:rFonts w:ascii="Times New Roman" w:hAnsi="Times New Roman"/>
          <w:sz w:val="24"/>
          <w:szCs w:val="24"/>
          <w:lang w:eastAsia="ru-RU"/>
        </w:rPr>
        <w:t xml:space="preserve"> тыс. рублей, установлены источники финансирования дефицита бюджета поселения в соответствии с требованиями статьи 184.1 Бюджетного кодекса РФ. </w:t>
      </w:r>
      <w:proofErr w:type="gramStart"/>
      <w:r w:rsidR="007E7C0A">
        <w:rPr>
          <w:rFonts w:ascii="Times New Roman" w:hAnsi="Times New Roman"/>
          <w:sz w:val="24"/>
          <w:szCs w:val="24"/>
          <w:lang w:eastAsia="ru-RU"/>
        </w:rPr>
        <w:t xml:space="preserve">Удельный вес дефицита бюджета поселения в сумме доходов бюджета поселения без учета безвозмездных поступлений и поступлений налоговых </w:t>
      </w:r>
      <w:r w:rsidR="007E7C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доходов по дополнительным нормативам отчислений составил </w:t>
      </w:r>
      <w:r w:rsidR="004A292D" w:rsidRPr="004A292D">
        <w:rPr>
          <w:rFonts w:ascii="Times New Roman" w:hAnsi="Times New Roman"/>
          <w:sz w:val="24"/>
          <w:szCs w:val="24"/>
          <w:lang w:eastAsia="ru-RU"/>
        </w:rPr>
        <w:t>16,1</w:t>
      </w:r>
      <w:r w:rsidR="007E7C0A" w:rsidRPr="004A292D">
        <w:rPr>
          <w:rFonts w:ascii="Times New Roman" w:hAnsi="Times New Roman"/>
          <w:sz w:val="24"/>
          <w:szCs w:val="24"/>
          <w:lang w:eastAsia="ru-RU"/>
        </w:rPr>
        <w:t>%.</w:t>
      </w:r>
      <w:r w:rsidR="007E7C0A">
        <w:rPr>
          <w:rFonts w:ascii="Times New Roman" w:hAnsi="Times New Roman"/>
          <w:sz w:val="24"/>
          <w:szCs w:val="24"/>
          <w:lang w:eastAsia="ru-RU"/>
        </w:rPr>
        <w:t xml:space="preserve">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  <w:r w:rsidR="007E7C0A">
        <w:rPr>
          <w:rFonts w:ascii="Times New Roman" w:hAnsi="Times New Roman"/>
          <w:sz w:val="24"/>
          <w:szCs w:val="24"/>
          <w:lang w:eastAsia="ru-RU"/>
        </w:rPr>
        <w:t xml:space="preserve"> В результате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сложился профицит  в сумме 6,2</w:t>
      </w:r>
      <w:r w:rsidR="007E7C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7C0A">
        <w:rPr>
          <w:rFonts w:ascii="Times New Roman" w:hAnsi="Times New Roman"/>
          <w:sz w:val="24"/>
          <w:szCs w:val="24"/>
        </w:rPr>
        <w:t>тыс. рублей.</w:t>
      </w:r>
    </w:p>
    <w:p w:rsidR="007E7C0A" w:rsidRDefault="007E7C0A" w:rsidP="007E7C0A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бюджетные кредиты не привлекались, муниципальный долг отсутствовал, расходы на его обслуживание не производились. </w:t>
      </w:r>
    </w:p>
    <w:p w:rsidR="007E7C0A" w:rsidRDefault="007E7C0A" w:rsidP="007E7C0A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Кассовое обслужива</w:t>
      </w:r>
      <w:r w:rsidR="009F0F6E">
        <w:rPr>
          <w:rFonts w:ascii="Times New Roman" w:hAnsi="Times New Roman"/>
          <w:sz w:val="24"/>
          <w:szCs w:val="24"/>
        </w:rPr>
        <w:t xml:space="preserve">ние исполнения бюджета </w:t>
      </w:r>
      <w:proofErr w:type="spellStart"/>
      <w:r w:rsidR="009F0F6E"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форм: ф.0503117 «Отчет об исполнении бюджета»,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 w:rsidR="009F0F6E"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  <w:proofErr w:type="gramEnd"/>
    </w:p>
    <w:p w:rsidR="007E7C0A" w:rsidRDefault="007E7C0A" w:rsidP="007E7C0A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сверки показателей формы 0503150 «Баланс по операциям кассового обслуживания исполнения бюджета» на 01.01.2018г. Управления Федерального казначейства по Томской области и формы 0503120 «Баланс исполнения бюджета» на 01.01.2018г. </w:t>
      </w:r>
      <w:r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 w:rsidR="009F0F6E"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840928" w:rsidRDefault="00840928" w:rsidP="009A294C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840928" w:rsidRDefault="00840928" w:rsidP="00840928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Определение степени финансовой устойчивости бюджета.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0928" w:rsidRPr="009A294C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A294C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9A294C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9A29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A294C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9A294C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840928" w:rsidRPr="009A294C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A294C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</w:t>
      </w:r>
      <w:r w:rsidR="009A294C" w:rsidRPr="009A294C">
        <w:rPr>
          <w:rFonts w:ascii="Times New Roman" w:hAnsi="Times New Roman"/>
          <w:sz w:val="24"/>
          <w:szCs w:val="24"/>
        </w:rPr>
        <w:t>енций) плановый коэффициент 2017</w:t>
      </w:r>
      <w:r w:rsidRPr="009A294C">
        <w:rPr>
          <w:rFonts w:ascii="Times New Roman" w:hAnsi="Times New Roman"/>
          <w:sz w:val="24"/>
          <w:szCs w:val="24"/>
        </w:rPr>
        <w:t xml:space="preserve"> года –</w:t>
      </w:r>
      <w:r w:rsidR="009A294C" w:rsidRPr="009A294C">
        <w:rPr>
          <w:rFonts w:ascii="Times New Roman" w:hAnsi="Times New Roman"/>
          <w:sz w:val="24"/>
          <w:szCs w:val="24"/>
        </w:rPr>
        <w:t xml:space="preserve"> 47,7%,  фактический –  43,9</w:t>
      </w:r>
      <w:r w:rsidRPr="009A294C">
        <w:rPr>
          <w:rFonts w:ascii="Times New Roman" w:hAnsi="Times New Roman"/>
          <w:sz w:val="24"/>
          <w:szCs w:val="24"/>
        </w:rPr>
        <w:t>%;</w:t>
      </w:r>
    </w:p>
    <w:p w:rsidR="00840928" w:rsidRPr="009A294C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A294C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</w:t>
      </w:r>
      <w:r w:rsidR="009A294C" w:rsidRPr="009A294C">
        <w:rPr>
          <w:rFonts w:ascii="Times New Roman" w:hAnsi="Times New Roman"/>
          <w:sz w:val="24"/>
          <w:szCs w:val="24"/>
        </w:rPr>
        <w:t>ий) плановый коэффициент –  52,3%, фактический – 56,2</w:t>
      </w:r>
      <w:r w:rsidRPr="009A294C">
        <w:rPr>
          <w:rFonts w:ascii="Times New Roman" w:hAnsi="Times New Roman"/>
          <w:sz w:val="24"/>
          <w:szCs w:val="24"/>
        </w:rPr>
        <w:t>%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A294C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</w:t>
      </w:r>
      <w:r w:rsidR="009A294C" w:rsidRPr="009A294C">
        <w:rPr>
          <w:rFonts w:ascii="Times New Roman" w:hAnsi="Times New Roman"/>
          <w:sz w:val="24"/>
          <w:szCs w:val="24"/>
        </w:rPr>
        <w:t>а при исполнении бюджета за 2017</w:t>
      </w:r>
      <w:r w:rsidRPr="009A294C">
        <w:rPr>
          <w:rFonts w:ascii="Times New Roman" w:hAnsi="Times New Roman"/>
          <w:sz w:val="24"/>
          <w:szCs w:val="24"/>
        </w:rPr>
        <w:t xml:space="preserve"> год несколько изменились, но  бюджет поселения, по-прежнему,  зависит от финансовой помощи из бюджета района и области.</w:t>
      </w:r>
    </w:p>
    <w:p w:rsidR="00840928" w:rsidRDefault="00840928" w:rsidP="00840928">
      <w:pPr>
        <w:autoSpaceDE w:val="0"/>
        <w:autoSpaceDN w:val="0"/>
        <w:adjustRightInd w:val="0"/>
        <w:spacing w:after="0" w:line="240" w:lineRule="auto"/>
        <w:ind w:left="-709" w:right="-1" w:firstLine="567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840928" w:rsidRPr="009A294C" w:rsidRDefault="00840928" w:rsidP="00840928">
      <w:pPr>
        <w:suppressAutoHyphens/>
        <w:spacing w:after="0" w:line="240" w:lineRule="auto"/>
        <w:ind w:left="-709" w:firstLine="567"/>
        <w:jc w:val="center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 w:rsidRPr="009A294C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3. Состав и содержание форм отчетности.</w:t>
      </w:r>
    </w:p>
    <w:p w:rsidR="00840928" w:rsidRPr="009A294C" w:rsidRDefault="00840928" w:rsidP="00840928">
      <w:pPr>
        <w:suppressAutoHyphens/>
        <w:spacing w:after="0" w:line="240" w:lineRule="auto"/>
        <w:ind w:left="-709" w:firstLine="567"/>
        <w:jc w:val="center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840928" w:rsidRPr="009A294C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A294C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Pr="009A294C">
        <w:rPr>
          <w:rStyle w:val="highlighthighlightactive"/>
          <w:sz w:val="24"/>
          <w:szCs w:val="24"/>
        </w:rPr>
        <w:t>поселения </w:t>
      </w:r>
      <w:r w:rsidRPr="009A294C"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0" w:name="YANDEX_1067"/>
      <w:bookmarkEnd w:id="0"/>
      <w:r w:rsidRPr="009A294C">
        <w:rPr>
          <w:rStyle w:val="highlighthighlightactive"/>
          <w:sz w:val="24"/>
          <w:szCs w:val="24"/>
        </w:rPr>
        <w:t> </w:t>
      </w:r>
      <w:proofErr w:type="spellStart"/>
      <w:r w:rsidRPr="009A294C"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Pr="009A294C">
        <w:rPr>
          <w:rFonts w:ascii="Times New Roman" w:hAnsi="Times New Roman"/>
          <w:sz w:val="24"/>
          <w:szCs w:val="24"/>
        </w:rPr>
        <w:t xml:space="preserve"> </w:t>
      </w:r>
      <w:bookmarkStart w:id="1" w:name="YANDEX_1068"/>
      <w:bookmarkEnd w:id="1"/>
      <w:r w:rsidRPr="009A294C">
        <w:rPr>
          <w:rStyle w:val="highlighthighlightactive"/>
          <w:sz w:val="24"/>
          <w:szCs w:val="24"/>
        </w:rPr>
        <w:t> сельского </w:t>
      </w:r>
      <w:r w:rsidRPr="009A294C">
        <w:rPr>
          <w:rFonts w:ascii="Times New Roman" w:hAnsi="Times New Roman"/>
          <w:sz w:val="24"/>
          <w:szCs w:val="24"/>
        </w:rPr>
        <w:t xml:space="preserve"> </w:t>
      </w:r>
      <w:bookmarkStart w:id="2" w:name="YANDEX_1069"/>
      <w:bookmarkEnd w:id="2"/>
      <w:r w:rsidRPr="009A294C">
        <w:rPr>
          <w:rStyle w:val="highlighthighlightactive"/>
          <w:sz w:val="24"/>
          <w:szCs w:val="24"/>
        </w:rPr>
        <w:t> поселения </w:t>
      </w:r>
      <w:r w:rsidRPr="009A294C"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3" w:name="YANDEX_1070"/>
      <w:bookmarkEnd w:id="3"/>
      <w:r w:rsidRPr="009A294C">
        <w:rPr>
          <w:rStyle w:val="highlighthighlightactive"/>
          <w:sz w:val="24"/>
          <w:szCs w:val="24"/>
        </w:rPr>
        <w:t> бюджетной </w:t>
      </w:r>
      <w:r w:rsidRPr="009A294C"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4" w:name="YANDEX_1071"/>
      <w:bookmarkEnd w:id="4"/>
      <w:r w:rsidRPr="009A294C">
        <w:rPr>
          <w:rStyle w:val="highlighthighlightactive"/>
          <w:sz w:val="24"/>
          <w:szCs w:val="24"/>
        </w:rPr>
        <w:t> бюджетных </w:t>
      </w:r>
      <w:r w:rsidRPr="009A294C"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840928" w:rsidRPr="009A294C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A294C">
        <w:rPr>
          <w:rFonts w:ascii="Times New Roman" w:hAnsi="Times New Roman"/>
          <w:sz w:val="24"/>
          <w:szCs w:val="24"/>
        </w:rPr>
        <w:t xml:space="preserve">Совет </w:t>
      </w:r>
      <w:r w:rsidRPr="009A294C">
        <w:rPr>
          <w:rStyle w:val="highlighthighlightactive"/>
          <w:sz w:val="24"/>
          <w:szCs w:val="24"/>
        </w:rPr>
        <w:t>поселения </w:t>
      </w:r>
      <w:r w:rsidRPr="009A294C"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840928" w:rsidRPr="009A294C" w:rsidRDefault="00840928" w:rsidP="00840928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9A294C">
        <w:rPr>
          <w:rFonts w:ascii="Times New Roman" w:hAnsi="Times New Roman"/>
          <w:sz w:val="24"/>
          <w:szCs w:val="24"/>
          <w:lang w:eastAsia="ru-RU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840928" w:rsidRPr="009A294C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A294C">
        <w:rPr>
          <w:rFonts w:ascii="Times New Roman" w:hAnsi="Times New Roman"/>
          <w:sz w:val="24"/>
          <w:szCs w:val="24"/>
        </w:rPr>
        <w:lastRenderedPageBreak/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 w:rsidRPr="009A294C"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Pr="009A294C">
        <w:rPr>
          <w:rFonts w:ascii="Times New Roman" w:hAnsi="Times New Roman"/>
          <w:sz w:val="24"/>
          <w:szCs w:val="24"/>
        </w:rPr>
        <w:t xml:space="preserve"> сельского поселения» от 30.03.2017г № 7 Администрация поселения представила отчет об испо</w:t>
      </w:r>
      <w:r w:rsidR="009A294C" w:rsidRPr="009A294C">
        <w:rPr>
          <w:rFonts w:ascii="Times New Roman" w:hAnsi="Times New Roman"/>
          <w:sz w:val="24"/>
          <w:szCs w:val="24"/>
        </w:rPr>
        <w:t>лнении бюджета поселения за 2017</w:t>
      </w:r>
      <w:r w:rsidRPr="009A294C">
        <w:rPr>
          <w:rFonts w:ascii="Times New Roman" w:hAnsi="Times New Roman"/>
          <w:sz w:val="24"/>
          <w:szCs w:val="24"/>
        </w:rPr>
        <w:t xml:space="preserve">  год</w:t>
      </w:r>
      <w:r w:rsidR="009A294C" w:rsidRPr="009A294C">
        <w:rPr>
          <w:rFonts w:ascii="Times New Roman" w:hAnsi="Times New Roman"/>
          <w:sz w:val="24"/>
          <w:szCs w:val="24"/>
        </w:rPr>
        <w:t xml:space="preserve">  в Счетную палату до 01.04.2018</w:t>
      </w:r>
      <w:r w:rsidRPr="009A294C">
        <w:rPr>
          <w:rFonts w:ascii="Times New Roman" w:hAnsi="Times New Roman"/>
          <w:sz w:val="24"/>
          <w:szCs w:val="24"/>
        </w:rPr>
        <w:t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840928" w:rsidRPr="007F00D5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00D5">
        <w:rPr>
          <w:rFonts w:ascii="Times New Roman" w:hAnsi="Times New Roman"/>
          <w:sz w:val="24"/>
          <w:szCs w:val="24"/>
        </w:rP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191н, в результате </w:t>
      </w:r>
      <w:r w:rsidRPr="007F00D5">
        <w:rPr>
          <w:rFonts w:ascii="Times New Roman" w:hAnsi="Times New Roman"/>
          <w:b/>
          <w:sz w:val="24"/>
          <w:szCs w:val="24"/>
        </w:rPr>
        <w:t>выявлены следующие недостатки.</w:t>
      </w:r>
    </w:p>
    <w:p w:rsidR="00840928" w:rsidRPr="007F00D5" w:rsidRDefault="00840928" w:rsidP="009A294C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7F00D5">
        <w:rPr>
          <w:rFonts w:ascii="Times New Roman" w:hAnsi="Times New Roman"/>
          <w:sz w:val="24"/>
          <w:szCs w:val="24"/>
        </w:rPr>
        <w:t xml:space="preserve">В нарушение </w:t>
      </w:r>
      <w:hyperlink r:id="rId11" w:history="1">
        <w:r w:rsidRPr="007F00D5">
          <w:rPr>
            <w:rStyle w:val="a5"/>
            <w:rFonts w:ascii="Times New Roman" w:hAnsi="Times New Roman"/>
            <w:color w:val="auto"/>
            <w:u w:val="none"/>
          </w:rPr>
          <w:t>пункта 158</w:t>
        </w:r>
      </w:hyperlink>
      <w:r w:rsidRPr="007F00D5">
        <w:rPr>
          <w:rFonts w:ascii="Times New Roman" w:hAnsi="Times New Roman"/>
          <w:sz w:val="24"/>
          <w:szCs w:val="24"/>
        </w:rPr>
        <w:t xml:space="preserve"> Инструкции № 191н </w:t>
      </w:r>
      <w:r w:rsidR="009A294C" w:rsidRPr="007F00D5">
        <w:rPr>
          <w:rFonts w:ascii="Times New Roman" w:hAnsi="Times New Roman"/>
          <w:sz w:val="24"/>
          <w:szCs w:val="24"/>
        </w:rPr>
        <w:t xml:space="preserve">в форме 0503160 «Пояснительная записка» не заполнена таблица </w:t>
      </w:r>
      <w:r w:rsidRPr="007F00D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7F00D5">
          <w:rPr>
            <w:rStyle w:val="a5"/>
            <w:rFonts w:ascii="Times New Roman" w:hAnsi="Times New Roman"/>
            <w:color w:val="auto"/>
            <w:u w:val="none"/>
          </w:rPr>
          <w:t xml:space="preserve"> № 6</w:t>
        </w:r>
      </w:hyperlink>
      <w:r w:rsidRPr="007F00D5">
        <w:rPr>
          <w:rFonts w:ascii="Times New Roman" w:hAnsi="Times New Roman"/>
          <w:sz w:val="24"/>
          <w:szCs w:val="24"/>
        </w:rPr>
        <w:t xml:space="preserve"> "Сведения о проведении инвентаризации"</w:t>
      </w:r>
      <w:r w:rsidR="009A294C" w:rsidRPr="007F00D5">
        <w:rPr>
          <w:rFonts w:ascii="Times New Roman" w:hAnsi="Times New Roman"/>
          <w:sz w:val="24"/>
          <w:szCs w:val="24"/>
        </w:rPr>
        <w:t>.</w:t>
      </w:r>
      <w:r w:rsidRPr="007F00D5">
        <w:rPr>
          <w:rFonts w:ascii="Times New Roman" w:hAnsi="Times New Roman"/>
          <w:sz w:val="24"/>
          <w:szCs w:val="24"/>
        </w:rPr>
        <w:t xml:space="preserve"> </w:t>
      </w:r>
    </w:p>
    <w:p w:rsidR="00840928" w:rsidRDefault="009A294C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0D5">
        <w:rPr>
          <w:rFonts w:ascii="Times New Roman" w:hAnsi="Times New Roman"/>
          <w:sz w:val="24"/>
          <w:szCs w:val="24"/>
          <w:lang w:eastAsia="ar-SA"/>
        </w:rPr>
        <w:t>Недостаток в отчетности   не изменяе</w:t>
      </w:r>
      <w:r w:rsidR="00840928" w:rsidRPr="007F00D5">
        <w:rPr>
          <w:rFonts w:ascii="Times New Roman" w:hAnsi="Times New Roman"/>
          <w:sz w:val="24"/>
          <w:szCs w:val="24"/>
          <w:lang w:eastAsia="ar-SA"/>
        </w:rPr>
        <w:t xml:space="preserve">т основные характеристики исполнения бюджета </w:t>
      </w:r>
      <w:proofErr w:type="spellStart"/>
      <w:r w:rsidR="00840928" w:rsidRPr="007F00D5">
        <w:rPr>
          <w:rFonts w:ascii="Times New Roman" w:hAnsi="Times New Roman"/>
          <w:sz w:val="24"/>
          <w:szCs w:val="24"/>
          <w:lang w:eastAsia="ar-SA"/>
        </w:rPr>
        <w:t>Калтай</w:t>
      </w:r>
      <w:r w:rsidR="00840928" w:rsidRPr="007F00D5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7F00D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за 2017</w:t>
      </w:r>
      <w:r w:rsidR="00840928" w:rsidRPr="007F00D5">
        <w:rPr>
          <w:rFonts w:ascii="Times New Roman" w:hAnsi="Times New Roman"/>
          <w:sz w:val="24"/>
          <w:szCs w:val="24"/>
          <w:lang w:eastAsia="ar-SA"/>
        </w:rPr>
        <w:t xml:space="preserve"> год, поэтому дальнейший анализ будет</w:t>
      </w:r>
      <w:r w:rsidRPr="007F00D5">
        <w:rPr>
          <w:rFonts w:ascii="Times New Roman" w:hAnsi="Times New Roman"/>
          <w:sz w:val="24"/>
          <w:szCs w:val="24"/>
          <w:lang w:eastAsia="ar-SA"/>
        </w:rPr>
        <w:t xml:space="preserve"> проведен с учетом уже указанного выше замечания</w:t>
      </w:r>
      <w:r w:rsidR="00840928" w:rsidRPr="007F00D5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A294C" w:rsidRDefault="009A294C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0928" w:rsidRDefault="00840928" w:rsidP="00840928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4. Организация бюджетного процесса в </w:t>
      </w:r>
      <w:proofErr w:type="spellStart"/>
      <w:r>
        <w:rPr>
          <w:rFonts w:ascii="Times New Roman" w:hAnsi="Times New Roman"/>
          <w:b/>
          <w:sz w:val="24"/>
          <w:szCs w:val="28"/>
        </w:rPr>
        <w:t>Калтайском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сельском поселении.</w:t>
      </w:r>
    </w:p>
    <w:p w:rsidR="00840928" w:rsidRDefault="00840928" w:rsidP="00840928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840928" w:rsidRDefault="009F0F6E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Бюджетный процесс в 2017</w:t>
      </w:r>
      <w:r w:rsidR="00840928">
        <w:rPr>
          <w:rFonts w:ascii="Times New Roman" w:hAnsi="Times New Roman"/>
          <w:sz w:val="24"/>
          <w:szCs w:val="28"/>
        </w:rPr>
        <w:t xml:space="preserve"> году в </w:t>
      </w:r>
      <w:proofErr w:type="spellStart"/>
      <w:r w:rsidR="00840928">
        <w:rPr>
          <w:rFonts w:ascii="Times New Roman" w:hAnsi="Times New Roman"/>
          <w:sz w:val="24"/>
          <w:szCs w:val="28"/>
        </w:rPr>
        <w:t>Калтайском</w:t>
      </w:r>
      <w:proofErr w:type="spellEnd"/>
      <w:r w:rsidR="00840928">
        <w:rPr>
          <w:rFonts w:ascii="Times New Roman" w:hAnsi="Times New Roman"/>
          <w:sz w:val="24"/>
          <w:szCs w:val="28"/>
        </w:rPr>
        <w:t xml:space="preserve"> сельском поселении основывался на положениях  Бюджетного кодекса Российской Федерации, Устава муниципального образования «</w:t>
      </w:r>
      <w:proofErr w:type="spellStart"/>
      <w:r w:rsidR="00840928">
        <w:rPr>
          <w:rFonts w:ascii="Times New Roman" w:hAnsi="Times New Roman"/>
          <w:sz w:val="24"/>
          <w:szCs w:val="28"/>
        </w:rPr>
        <w:t>Калтайское</w:t>
      </w:r>
      <w:proofErr w:type="spellEnd"/>
      <w:r w:rsidR="00840928">
        <w:rPr>
          <w:rFonts w:ascii="Times New Roman" w:hAnsi="Times New Roman"/>
          <w:sz w:val="24"/>
          <w:szCs w:val="28"/>
        </w:rPr>
        <w:t xml:space="preserve"> сельское поселение», принятого решением  Совета </w:t>
      </w:r>
      <w:proofErr w:type="spellStart"/>
      <w:r w:rsidR="00840928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="00840928">
        <w:rPr>
          <w:rFonts w:ascii="Times New Roman" w:hAnsi="Times New Roman"/>
          <w:sz w:val="24"/>
          <w:szCs w:val="28"/>
        </w:rPr>
        <w:t xml:space="preserve"> сельского  поселения  от 29 января 2015 г. № 145 (с изменениями), Положения  о бюджетном процессе в </w:t>
      </w:r>
      <w:proofErr w:type="spellStart"/>
      <w:r w:rsidR="00840928">
        <w:rPr>
          <w:rFonts w:ascii="Times New Roman" w:hAnsi="Times New Roman"/>
          <w:sz w:val="24"/>
          <w:szCs w:val="28"/>
        </w:rPr>
        <w:t>Калтайском</w:t>
      </w:r>
      <w:proofErr w:type="spellEnd"/>
      <w:r w:rsidR="00840928">
        <w:rPr>
          <w:rFonts w:ascii="Times New Roman" w:hAnsi="Times New Roman"/>
          <w:sz w:val="24"/>
          <w:szCs w:val="28"/>
        </w:rPr>
        <w:t xml:space="preserve"> сельском поселении, утвержденного решением Совета </w:t>
      </w:r>
      <w:proofErr w:type="spellStart"/>
      <w:r w:rsidR="00840928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="00840928">
        <w:rPr>
          <w:rFonts w:ascii="Times New Roman" w:hAnsi="Times New Roman"/>
          <w:sz w:val="24"/>
          <w:szCs w:val="28"/>
        </w:rPr>
        <w:t xml:space="preserve"> сельского поселения от 20.06.2008 № 32 (с изменениями внесенными решением Совета </w:t>
      </w:r>
      <w:proofErr w:type="spellStart"/>
      <w:r w:rsidR="00840928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="00840928">
        <w:rPr>
          <w:rFonts w:ascii="Times New Roman" w:hAnsi="Times New Roman"/>
          <w:sz w:val="24"/>
          <w:szCs w:val="28"/>
        </w:rPr>
        <w:t xml:space="preserve"> сельского</w:t>
      </w:r>
      <w:proofErr w:type="gramEnd"/>
      <w:r w:rsidR="00840928">
        <w:rPr>
          <w:rFonts w:ascii="Times New Roman" w:hAnsi="Times New Roman"/>
          <w:sz w:val="24"/>
          <w:szCs w:val="28"/>
        </w:rPr>
        <w:t xml:space="preserve"> поселения от 29.05.2014 № 116). </w:t>
      </w: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Утверждение бюджета </w:t>
      </w:r>
      <w:proofErr w:type="spellStart"/>
      <w:r>
        <w:rPr>
          <w:rFonts w:ascii="Times New Roman" w:hAnsi="Times New Roman"/>
          <w:sz w:val="24"/>
          <w:szCs w:val="28"/>
        </w:rPr>
        <w:t>Калтайс</w:t>
      </w:r>
      <w:r w:rsidR="009F0F6E">
        <w:rPr>
          <w:rFonts w:ascii="Times New Roman" w:hAnsi="Times New Roman"/>
          <w:sz w:val="24"/>
          <w:szCs w:val="28"/>
        </w:rPr>
        <w:t>кого</w:t>
      </w:r>
      <w:proofErr w:type="spellEnd"/>
      <w:r w:rsidR="009F0F6E">
        <w:rPr>
          <w:rFonts w:ascii="Times New Roman" w:hAnsi="Times New Roman"/>
          <w:sz w:val="24"/>
          <w:szCs w:val="28"/>
        </w:rPr>
        <w:t xml:space="preserve"> сельского поселения на 2017</w:t>
      </w:r>
      <w:r>
        <w:rPr>
          <w:rFonts w:ascii="Times New Roman" w:hAnsi="Times New Roman"/>
          <w:sz w:val="24"/>
          <w:szCs w:val="28"/>
        </w:rPr>
        <w:t xml:space="preserve"> год обеспечено до начала финансового года решением Совета </w:t>
      </w:r>
      <w:proofErr w:type="spellStart"/>
      <w:r>
        <w:rPr>
          <w:rFonts w:ascii="Times New Roman" w:hAnsi="Times New Roman"/>
          <w:sz w:val="24"/>
          <w:szCs w:val="28"/>
        </w:rPr>
        <w:t>Калтайского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</w:t>
      </w:r>
      <w:r w:rsidR="009F0F6E">
        <w:rPr>
          <w:rFonts w:ascii="Times New Roman" w:hAnsi="Times New Roman"/>
          <w:sz w:val="24"/>
          <w:szCs w:val="28"/>
        </w:rPr>
        <w:t>ельского поселения от 28.12.2016 № 219</w:t>
      </w:r>
      <w:r>
        <w:rPr>
          <w:rFonts w:ascii="Times New Roman" w:hAnsi="Times New Roman"/>
          <w:sz w:val="24"/>
          <w:szCs w:val="28"/>
        </w:rPr>
        <w:t xml:space="preserve"> «О бюджете муниципального образования «</w:t>
      </w:r>
      <w:proofErr w:type="spellStart"/>
      <w:r>
        <w:rPr>
          <w:rFonts w:ascii="Times New Roman" w:hAnsi="Times New Roman"/>
          <w:sz w:val="24"/>
          <w:szCs w:val="28"/>
        </w:rPr>
        <w:t>Калтай</w:t>
      </w:r>
      <w:r w:rsidR="009F0F6E">
        <w:rPr>
          <w:rFonts w:ascii="Times New Roman" w:hAnsi="Times New Roman"/>
          <w:sz w:val="24"/>
          <w:szCs w:val="28"/>
        </w:rPr>
        <w:t>ское</w:t>
      </w:r>
      <w:proofErr w:type="spellEnd"/>
      <w:r w:rsidR="009F0F6E">
        <w:rPr>
          <w:rFonts w:ascii="Times New Roman" w:hAnsi="Times New Roman"/>
          <w:sz w:val="24"/>
          <w:szCs w:val="28"/>
        </w:rPr>
        <w:t xml:space="preserve"> сельское поселение» на 2017</w:t>
      </w:r>
      <w:r>
        <w:rPr>
          <w:rFonts w:ascii="Times New Roman" w:hAnsi="Times New Roman"/>
          <w:sz w:val="24"/>
          <w:szCs w:val="28"/>
        </w:rPr>
        <w:t xml:space="preserve"> год» (далее - решение о бюджете). Последнее изменение в решение о бюджете утверждено решением Совета </w:t>
      </w:r>
      <w:proofErr w:type="spellStart"/>
      <w:r>
        <w:rPr>
          <w:rFonts w:ascii="Times New Roman" w:hAnsi="Times New Roman"/>
          <w:sz w:val="24"/>
          <w:szCs w:val="28"/>
        </w:rPr>
        <w:t>Калтайского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</w:t>
      </w:r>
      <w:r w:rsidR="009F0F6E">
        <w:rPr>
          <w:rFonts w:ascii="Times New Roman" w:hAnsi="Times New Roman"/>
          <w:sz w:val="24"/>
          <w:szCs w:val="28"/>
        </w:rPr>
        <w:t>ельского поселения от 28.12.2017 № 23</w:t>
      </w:r>
      <w:r>
        <w:rPr>
          <w:rFonts w:ascii="Times New Roman" w:hAnsi="Times New Roman"/>
          <w:sz w:val="24"/>
          <w:szCs w:val="28"/>
        </w:rPr>
        <w:t>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Исполнение бюджета поселения осуществлялось на основе сводной бюджетной росписи по расходам бюджета. Бюджетная роспись утверждена распоряжением Главы </w:t>
      </w:r>
      <w:proofErr w:type="spellStart"/>
      <w:r>
        <w:rPr>
          <w:rFonts w:ascii="Times New Roman" w:hAnsi="Times New Roman"/>
          <w:sz w:val="24"/>
          <w:szCs w:val="28"/>
        </w:rPr>
        <w:t>Калтайского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(Гл</w:t>
      </w:r>
      <w:r w:rsidR="009F0F6E">
        <w:rPr>
          <w:rFonts w:ascii="Times New Roman" w:hAnsi="Times New Roman"/>
          <w:sz w:val="24"/>
          <w:szCs w:val="28"/>
        </w:rPr>
        <w:t>авы Администрации) от 30.12.2016 № 96</w:t>
      </w:r>
      <w:r>
        <w:rPr>
          <w:rFonts w:ascii="Times New Roman" w:hAnsi="Times New Roman"/>
          <w:sz w:val="24"/>
          <w:szCs w:val="28"/>
        </w:rPr>
        <w:t xml:space="preserve"> (с изменениями</w:t>
      </w:r>
      <w:r w:rsidR="009F0F6E">
        <w:rPr>
          <w:rFonts w:ascii="Times New Roman" w:hAnsi="Times New Roman"/>
          <w:sz w:val="24"/>
          <w:szCs w:val="28"/>
        </w:rPr>
        <w:t>, распоряжение от 29.12.2017 № 98</w:t>
      </w:r>
      <w:r>
        <w:rPr>
          <w:rFonts w:ascii="Times New Roman" w:hAnsi="Times New Roman"/>
          <w:sz w:val="24"/>
          <w:szCs w:val="28"/>
        </w:rPr>
        <w:t>).</w:t>
      </w:r>
    </w:p>
    <w:p w:rsidR="009F0F6E" w:rsidRDefault="009F0F6E" w:rsidP="00840928">
      <w:pPr>
        <w:spacing w:after="0" w:line="240" w:lineRule="auto"/>
        <w:ind w:left="-709" w:right="-9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40928" w:rsidRDefault="00840928" w:rsidP="00840928">
      <w:pPr>
        <w:spacing w:after="0" w:line="240" w:lineRule="auto"/>
        <w:ind w:left="-709" w:right="-9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Исполнение бюджета по доходам.</w:t>
      </w:r>
    </w:p>
    <w:p w:rsidR="00840928" w:rsidRDefault="00840928" w:rsidP="00840928">
      <w:pPr>
        <w:spacing w:after="0" w:line="240" w:lineRule="auto"/>
        <w:ind w:left="-709" w:right="-1"/>
        <w:jc w:val="center"/>
        <w:rPr>
          <w:rFonts w:ascii="Times New Roman" w:hAnsi="Times New Roman"/>
          <w:sz w:val="24"/>
          <w:szCs w:val="28"/>
        </w:rPr>
      </w:pPr>
    </w:p>
    <w:p w:rsidR="00E80FF0" w:rsidRPr="00E80FF0" w:rsidRDefault="00E80FF0" w:rsidP="00E80FF0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28.12.2016 № 219</w:t>
      </w:r>
      <w:r w:rsidRPr="00E80FF0">
        <w:rPr>
          <w:rFonts w:ascii="Times New Roman" w:hAnsi="Times New Roman"/>
          <w:sz w:val="24"/>
          <w:szCs w:val="24"/>
        </w:rPr>
        <w:t xml:space="preserve"> утвержден перечень главных администраторов доходов бюджета на 2017 год</w:t>
      </w:r>
      <w:r w:rsidRPr="00E80FF0">
        <w:rPr>
          <w:rFonts w:ascii="Times New Roman" w:hAnsi="Times New Roman"/>
          <w:bCs/>
          <w:iCs/>
          <w:sz w:val="24"/>
          <w:szCs w:val="24"/>
        </w:rPr>
        <w:t xml:space="preserve"> в соответствии с требованием </w:t>
      </w:r>
      <w:r w:rsidRPr="00E80FF0">
        <w:rPr>
          <w:rFonts w:ascii="Times New Roman" w:hAnsi="Times New Roman"/>
          <w:sz w:val="24"/>
          <w:szCs w:val="24"/>
        </w:rPr>
        <w:t>пункта 2 статьи 20 Бюджетного кодекса РФ</w:t>
      </w:r>
      <w:r>
        <w:rPr>
          <w:rFonts w:ascii="Times New Roman" w:hAnsi="Times New Roman"/>
          <w:sz w:val="24"/>
          <w:szCs w:val="24"/>
        </w:rPr>
        <w:t xml:space="preserve">. За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E80FF0">
        <w:rPr>
          <w:rFonts w:ascii="Times New Roman" w:hAnsi="Times New Roman"/>
          <w:sz w:val="24"/>
          <w:szCs w:val="24"/>
        </w:rPr>
        <w:t xml:space="preserve">  сельского поселения в качестве главного администратора доходов местного бюджета закреплены  источники доходов.</w:t>
      </w:r>
    </w:p>
    <w:p w:rsidR="00E80FF0" w:rsidRPr="00E80FF0" w:rsidRDefault="00E80FF0" w:rsidP="00E80FF0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E80FF0">
        <w:rPr>
          <w:rFonts w:ascii="Times New Roman" w:hAnsi="Times New Roman"/>
          <w:sz w:val="24"/>
          <w:szCs w:val="24"/>
          <w:lang w:eastAsia="ar-SA"/>
        </w:rPr>
        <w:t>Формирование доходной части бюджета поселения на 2017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E80FF0" w:rsidRDefault="00840928" w:rsidP="00E80FF0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80FF0">
        <w:rPr>
          <w:rFonts w:ascii="Times New Roman" w:hAnsi="Times New Roman"/>
          <w:sz w:val="24"/>
          <w:szCs w:val="24"/>
        </w:rPr>
        <w:t xml:space="preserve">  был утвержден в сумме  21935,3 тыс. руб.,  в течение  2017 года был уменьшен на  </w:t>
      </w:r>
      <w:r>
        <w:rPr>
          <w:rFonts w:ascii="Times New Roman" w:hAnsi="Times New Roman"/>
          <w:sz w:val="24"/>
          <w:szCs w:val="24"/>
        </w:rPr>
        <w:t xml:space="preserve"> </w:t>
      </w:r>
      <w:r w:rsidR="00E80FF0">
        <w:rPr>
          <w:rFonts w:ascii="Times New Roman" w:hAnsi="Times New Roman"/>
          <w:sz w:val="24"/>
          <w:szCs w:val="24"/>
        </w:rPr>
        <w:t xml:space="preserve">142,5 </w:t>
      </w:r>
      <w:r>
        <w:rPr>
          <w:rFonts w:ascii="Times New Roman" w:hAnsi="Times New Roman"/>
          <w:sz w:val="24"/>
          <w:szCs w:val="24"/>
        </w:rPr>
        <w:t>тыс. руб</w:t>
      </w:r>
      <w:r w:rsidR="00E80FF0">
        <w:rPr>
          <w:rFonts w:ascii="Times New Roman" w:hAnsi="Times New Roman"/>
          <w:sz w:val="24"/>
          <w:szCs w:val="24"/>
        </w:rPr>
        <w:t>.  (на 0,6%) и составил 21792,8</w:t>
      </w:r>
      <w:r>
        <w:rPr>
          <w:rFonts w:ascii="Times New Roman" w:hAnsi="Times New Roman"/>
          <w:sz w:val="24"/>
          <w:szCs w:val="24"/>
        </w:rPr>
        <w:t xml:space="preserve"> тыс. руб.. Фактическое исполнение доходной части бюджета  от плановых </w:t>
      </w:r>
      <w:r>
        <w:rPr>
          <w:rFonts w:ascii="Times New Roman" w:hAnsi="Times New Roman"/>
          <w:sz w:val="24"/>
          <w:szCs w:val="24"/>
        </w:rPr>
        <w:lastRenderedPageBreak/>
        <w:t xml:space="preserve">показателей, утвержденных последней редакцией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</w:t>
      </w:r>
      <w:r w:rsidR="00E80FF0">
        <w:rPr>
          <w:rFonts w:ascii="Times New Roman" w:hAnsi="Times New Roman"/>
          <w:sz w:val="24"/>
          <w:szCs w:val="24"/>
        </w:rPr>
        <w:t>кого поселения, составило  107,8</w:t>
      </w:r>
      <w:r>
        <w:rPr>
          <w:rFonts w:ascii="Times New Roman" w:hAnsi="Times New Roman"/>
          <w:sz w:val="24"/>
          <w:szCs w:val="24"/>
        </w:rPr>
        <w:t>%</w:t>
      </w:r>
      <w:r w:rsidR="00E80FF0">
        <w:rPr>
          <w:rFonts w:ascii="Times New Roman" w:hAnsi="Times New Roman"/>
          <w:sz w:val="24"/>
          <w:szCs w:val="24"/>
        </w:rPr>
        <w:t>, что в сумме составляет 23492,5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E80FF0" w:rsidRDefault="00E80FF0" w:rsidP="00840928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8"/>
        </w:rPr>
        <w:t xml:space="preserve">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</w:t>
      </w:r>
      <w:r w:rsidR="00E80FF0">
        <w:rPr>
          <w:rFonts w:ascii="Times New Roman" w:hAnsi="Times New Roman"/>
          <w:sz w:val="24"/>
          <w:szCs w:val="24"/>
        </w:rPr>
        <w:t>кого</w:t>
      </w:r>
      <w:proofErr w:type="spellEnd"/>
      <w:r w:rsidR="00E80FF0">
        <w:rPr>
          <w:rFonts w:ascii="Times New Roman" w:hAnsi="Times New Roman"/>
          <w:sz w:val="24"/>
          <w:szCs w:val="24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B65CF4">
        <w:rPr>
          <w:rFonts w:ascii="Times New Roman" w:hAnsi="Times New Roman"/>
          <w:sz w:val="24"/>
          <w:szCs w:val="28"/>
        </w:rPr>
        <w:t xml:space="preserve"> приведены в таблице 2</w:t>
      </w:r>
      <w:r>
        <w:rPr>
          <w:rFonts w:ascii="Times New Roman" w:hAnsi="Times New Roman"/>
          <w:sz w:val="24"/>
          <w:szCs w:val="28"/>
        </w:rPr>
        <w:t>.</w:t>
      </w:r>
    </w:p>
    <w:p w:rsidR="00840928" w:rsidRDefault="00B65CF4" w:rsidP="00840928">
      <w:pPr>
        <w:tabs>
          <w:tab w:val="left" w:pos="2552"/>
        </w:tabs>
        <w:spacing w:after="0" w:line="240" w:lineRule="auto"/>
        <w:ind w:left="-709" w:right="-97"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  <w:t>тыс. руб.</w:t>
      </w:r>
    </w:p>
    <w:tbl>
      <w:tblPr>
        <w:tblW w:w="9792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760"/>
        <w:gridCol w:w="1260"/>
        <w:gridCol w:w="1183"/>
        <w:gridCol w:w="1249"/>
      </w:tblGrid>
      <w:tr w:rsidR="00840928" w:rsidTr="00E80FF0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енные бюджетные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назначе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840928" w:rsidRDefault="0084092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ния</w:t>
            </w:r>
            <w:proofErr w:type="spellEnd"/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Исполнено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% исполнения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E80FF0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9921,5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11621,2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117,1</w:t>
            </w:r>
          </w:p>
        </w:tc>
      </w:tr>
      <w:tr w:rsidR="00E80FF0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Default="00E80FF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E80FF0" w:rsidRDefault="00E80FF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80FF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8D5BF7" w:rsidRDefault="008D5BF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5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8408,0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8D5BF7" w:rsidRDefault="008D5BF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5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9570,6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8D5BF7" w:rsidRDefault="008D5BF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5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113,8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E80FF0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2233,4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2324,5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E80FF0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1511,4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10503010011000110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совокупный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E80FF0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96,3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8D5BF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4452,5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1C7815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5726,9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1C7815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128,6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574,5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992,2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172,7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3878,0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4734,7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122,1</w:t>
            </w:r>
          </w:p>
        </w:tc>
      </w:tr>
      <w:tr w:rsidR="00E80FF0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Default="00E80FF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E80FF0" w:rsidRDefault="00E80FF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80FF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8D5BF7" w:rsidRDefault="008D5BF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5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1513,5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1C7815" w:rsidRDefault="001C7815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781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2050,6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F0" w:rsidRPr="007F04A7" w:rsidRDefault="001C7815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135,5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884,7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1422,8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160,8</w:t>
            </w:r>
          </w:p>
        </w:tc>
      </w:tr>
      <w:tr w:rsidR="00840928" w:rsidTr="00E80FF0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566,0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565,3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7F04A7" w:rsidTr="00E80FF0">
        <w:trPr>
          <w:cantSplit/>
          <w:trHeight w:val="29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A7" w:rsidRDefault="007F04A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A7" w:rsidRDefault="007F04A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A7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A7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4A7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40928" w:rsidTr="00E80FF0">
        <w:trPr>
          <w:cantSplit/>
          <w:trHeight w:val="29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A7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840928" w:rsidTr="00E80FF0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11871,3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11871,3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840928" w:rsidTr="00E80FF0">
        <w:trPr>
          <w:cantSplit/>
          <w:trHeight w:val="33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0928" w:rsidRDefault="0084092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Default="0084092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21792,8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23492,5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28" w:rsidRPr="007F04A7" w:rsidRDefault="007F04A7">
            <w:pPr>
              <w:pStyle w:val="ConsPlusCell"/>
              <w:widowControl/>
              <w:tabs>
                <w:tab w:val="left" w:pos="27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4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107,8</w:t>
            </w:r>
          </w:p>
        </w:tc>
      </w:tr>
    </w:tbl>
    <w:p w:rsidR="00C31731" w:rsidRDefault="00C31731" w:rsidP="001C7815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</w:p>
    <w:p w:rsidR="001C7815" w:rsidRPr="001C7815" w:rsidRDefault="001C7815" w:rsidP="001C7815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1C7815">
        <w:rPr>
          <w:rFonts w:ascii="Times New Roman" w:hAnsi="Times New Roman"/>
          <w:sz w:val="24"/>
          <w:szCs w:val="24"/>
        </w:rPr>
        <w:t xml:space="preserve">Основным источником формирования доходов явился </w:t>
      </w:r>
      <w:r>
        <w:rPr>
          <w:rFonts w:ascii="Times New Roman" w:hAnsi="Times New Roman"/>
          <w:sz w:val="24"/>
          <w:szCs w:val="24"/>
        </w:rPr>
        <w:t xml:space="preserve">земельный налог  </w:t>
      </w:r>
      <w:r w:rsidRPr="001C7815">
        <w:rPr>
          <w:rFonts w:ascii="Times New Roman" w:hAnsi="Times New Roman"/>
          <w:sz w:val="24"/>
          <w:szCs w:val="24"/>
        </w:rPr>
        <w:t xml:space="preserve"> в сумме  </w:t>
      </w:r>
      <w:r w:rsidRPr="007F04A7">
        <w:rPr>
          <w:rFonts w:ascii="Times New Roman" w:hAnsi="Times New Roman"/>
          <w:sz w:val="24"/>
          <w:szCs w:val="24"/>
        </w:rPr>
        <w:t>4734,7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815">
        <w:rPr>
          <w:rFonts w:ascii="Times New Roman" w:hAnsi="Times New Roman"/>
          <w:sz w:val="24"/>
          <w:szCs w:val="24"/>
        </w:rPr>
        <w:t>тыс. рублей, что составило</w:t>
      </w:r>
      <w:r>
        <w:rPr>
          <w:rFonts w:ascii="Times New Roman" w:hAnsi="Times New Roman"/>
          <w:sz w:val="24"/>
          <w:szCs w:val="24"/>
        </w:rPr>
        <w:t xml:space="preserve"> 122,1</w:t>
      </w:r>
      <w:r w:rsidRPr="001C7815">
        <w:rPr>
          <w:rFonts w:ascii="Times New Roman" w:hAnsi="Times New Roman"/>
          <w:sz w:val="24"/>
          <w:szCs w:val="24"/>
        </w:rPr>
        <w:t xml:space="preserve">% к плану. Доля  </w:t>
      </w:r>
      <w:r>
        <w:rPr>
          <w:rFonts w:ascii="Times New Roman" w:hAnsi="Times New Roman"/>
          <w:sz w:val="24"/>
          <w:szCs w:val="24"/>
        </w:rPr>
        <w:t xml:space="preserve">земельного налога </w:t>
      </w:r>
      <w:r w:rsidRPr="001C7815">
        <w:rPr>
          <w:rFonts w:ascii="Times New Roman" w:hAnsi="Times New Roman"/>
          <w:sz w:val="24"/>
          <w:szCs w:val="24"/>
        </w:rPr>
        <w:t xml:space="preserve"> в объеме налоговых и не</w:t>
      </w:r>
      <w:r>
        <w:rPr>
          <w:rFonts w:ascii="Times New Roman" w:hAnsi="Times New Roman"/>
          <w:sz w:val="24"/>
          <w:szCs w:val="24"/>
        </w:rPr>
        <w:t>налоговых доходов составила 40,7</w:t>
      </w:r>
      <w:r w:rsidRPr="001C7815">
        <w:rPr>
          <w:rFonts w:ascii="Times New Roman" w:hAnsi="Times New Roman"/>
          <w:sz w:val="24"/>
          <w:szCs w:val="24"/>
        </w:rPr>
        <w:t xml:space="preserve">%. Далее идет  налог </w:t>
      </w:r>
      <w:r>
        <w:rPr>
          <w:rFonts w:ascii="Times New Roman" w:hAnsi="Times New Roman"/>
          <w:sz w:val="24"/>
          <w:szCs w:val="24"/>
        </w:rPr>
        <w:t>на доходы физических лиц</w:t>
      </w:r>
      <w:r w:rsidRPr="001C7815">
        <w:rPr>
          <w:rFonts w:ascii="Times New Roman" w:hAnsi="Times New Roman"/>
          <w:sz w:val="24"/>
          <w:szCs w:val="24"/>
        </w:rPr>
        <w:t xml:space="preserve"> в сумме  </w:t>
      </w:r>
      <w:r>
        <w:rPr>
          <w:rFonts w:ascii="Times New Roman" w:hAnsi="Times New Roman"/>
          <w:sz w:val="24"/>
          <w:szCs w:val="24"/>
        </w:rPr>
        <w:t>2324,5</w:t>
      </w:r>
      <w:r w:rsidRPr="001C7815">
        <w:rPr>
          <w:rFonts w:ascii="Times New Roman" w:hAnsi="Times New Roman"/>
          <w:sz w:val="24"/>
          <w:szCs w:val="24"/>
        </w:rPr>
        <w:t xml:space="preserve"> тыс. руб., что соста</w:t>
      </w:r>
      <w:r>
        <w:rPr>
          <w:rFonts w:ascii="Times New Roman" w:hAnsi="Times New Roman"/>
          <w:sz w:val="24"/>
          <w:szCs w:val="24"/>
        </w:rPr>
        <w:t>вило 104,1</w:t>
      </w:r>
      <w:r w:rsidRPr="001C7815">
        <w:rPr>
          <w:rFonts w:ascii="Times New Roman" w:hAnsi="Times New Roman"/>
          <w:sz w:val="24"/>
          <w:szCs w:val="24"/>
        </w:rPr>
        <w:t xml:space="preserve">% к плану. Доля   налога </w:t>
      </w:r>
      <w:r>
        <w:rPr>
          <w:rFonts w:ascii="Times New Roman" w:hAnsi="Times New Roman"/>
          <w:sz w:val="24"/>
          <w:szCs w:val="24"/>
        </w:rPr>
        <w:t>на доходы физических лиц</w:t>
      </w:r>
      <w:r w:rsidRPr="001C7815">
        <w:rPr>
          <w:rFonts w:ascii="Times New Roman" w:hAnsi="Times New Roman"/>
          <w:sz w:val="24"/>
          <w:szCs w:val="24"/>
        </w:rPr>
        <w:t xml:space="preserve"> в объеме налоговых и не</w:t>
      </w:r>
      <w:r>
        <w:rPr>
          <w:rFonts w:ascii="Times New Roman" w:hAnsi="Times New Roman"/>
          <w:sz w:val="24"/>
          <w:szCs w:val="24"/>
        </w:rPr>
        <w:t xml:space="preserve">налоговых доходов составила </w:t>
      </w:r>
      <w:r w:rsidR="00E02595">
        <w:rPr>
          <w:rFonts w:ascii="Times New Roman" w:hAnsi="Times New Roman"/>
          <w:sz w:val="24"/>
          <w:szCs w:val="24"/>
        </w:rPr>
        <w:t>20,0</w:t>
      </w:r>
      <w:r w:rsidRPr="001C7815">
        <w:rPr>
          <w:rFonts w:ascii="Times New Roman" w:hAnsi="Times New Roman"/>
          <w:sz w:val="24"/>
          <w:szCs w:val="24"/>
        </w:rPr>
        <w:t xml:space="preserve">%. Акцизы по </w:t>
      </w:r>
      <w:proofErr w:type="gramStart"/>
      <w:r w:rsidRPr="001C7815">
        <w:rPr>
          <w:rFonts w:ascii="Times New Roman" w:hAnsi="Times New Roman"/>
          <w:sz w:val="24"/>
          <w:szCs w:val="24"/>
        </w:rPr>
        <w:t>подакцизным товарам, производимым на территории Российской Федерации составили</w:t>
      </w:r>
      <w:proofErr w:type="gramEnd"/>
      <w:r w:rsidRPr="001C7815">
        <w:rPr>
          <w:rFonts w:ascii="Times New Roman" w:hAnsi="Times New Roman"/>
          <w:sz w:val="24"/>
          <w:szCs w:val="24"/>
        </w:rPr>
        <w:t xml:space="preserve"> в сумме </w:t>
      </w:r>
      <w:r w:rsidR="00E02595" w:rsidRPr="007F04A7">
        <w:rPr>
          <w:rFonts w:ascii="Times New Roman" w:hAnsi="Times New Roman"/>
          <w:sz w:val="24"/>
          <w:szCs w:val="24"/>
        </w:rPr>
        <w:t>1511,4</w:t>
      </w:r>
      <w:r w:rsidR="00E02595">
        <w:rPr>
          <w:rFonts w:ascii="Times New Roman" w:hAnsi="Times New Roman"/>
          <w:sz w:val="24"/>
          <w:szCs w:val="24"/>
        </w:rPr>
        <w:t xml:space="preserve"> </w:t>
      </w:r>
      <w:r w:rsidRPr="001C7815">
        <w:rPr>
          <w:rFonts w:ascii="Times New Roman" w:hAnsi="Times New Roman"/>
          <w:sz w:val="24"/>
          <w:szCs w:val="24"/>
        </w:rPr>
        <w:t xml:space="preserve">тыс. руб. или 88,2% к плану. Доля акцизов по </w:t>
      </w:r>
      <w:proofErr w:type="gramStart"/>
      <w:r w:rsidRPr="001C7815">
        <w:rPr>
          <w:rFonts w:ascii="Times New Roman" w:hAnsi="Times New Roman"/>
          <w:sz w:val="24"/>
          <w:szCs w:val="24"/>
        </w:rPr>
        <w:t>подакцизным товарам, производимым на территории Российской Федерации в объеме налоговых и не</w:t>
      </w:r>
      <w:r w:rsidR="00E02595">
        <w:rPr>
          <w:rFonts w:ascii="Times New Roman" w:hAnsi="Times New Roman"/>
          <w:sz w:val="24"/>
          <w:szCs w:val="24"/>
        </w:rPr>
        <w:t>налоговых доходов составила</w:t>
      </w:r>
      <w:proofErr w:type="gramEnd"/>
      <w:r w:rsidR="00E02595">
        <w:rPr>
          <w:rFonts w:ascii="Times New Roman" w:hAnsi="Times New Roman"/>
          <w:sz w:val="24"/>
          <w:szCs w:val="24"/>
        </w:rPr>
        <w:t xml:space="preserve"> 13,0</w:t>
      </w:r>
      <w:r w:rsidRPr="001C7815">
        <w:rPr>
          <w:rFonts w:ascii="Times New Roman" w:hAnsi="Times New Roman"/>
          <w:sz w:val="24"/>
          <w:szCs w:val="24"/>
        </w:rPr>
        <w:t xml:space="preserve">%. Доходы от использования имущества, находящегося в государственной и муниципальной собственности, в сумме  </w:t>
      </w:r>
      <w:r w:rsidR="00E02595" w:rsidRPr="007F04A7">
        <w:rPr>
          <w:rFonts w:ascii="Times New Roman" w:hAnsi="Times New Roman"/>
          <w:sz w:val="24"/>
          <w:szCs w:val="24"/>
        </w:rPr>
        <w:t>1422,8</w:t>
      </w:r>
      <w:r w:rsidR="00E02595">
        <w:rPr>
          <w:rFonts w:ascii="Times New Roman" w:hAnsi="Times New Roman"/>
          <w:sz w:val="24"/>
          <w:szCs w:val="24"/>
        </w:rPr>
        <w:t xml:space="preserve"> </w:t>
      </w:r>
      <w:r w:rsidRPr="001C7815">
        <w:rPr>
          <w:rFonts w:ascii="Times New Roman" w:hAnsi="Times New Roman"/>
          <w:sz w:val="24"/>
          <w:szCs w:val="24"/>
        </w:rPr>
        <w:t>тыс. руб. в объеме налоговых и нен</w:t>
      </w:r>
      <w:r w:rsidR="00E02595">
        <w:rPr>
          <w:rFonts w:ascii="Times New Roman" w:hAnsi="Times New Roman"/>
          <w:sz w:val="24"/>
          <w:szCs w:val="24"/>
        </w:rPr>
        <w:t>алоговых доходов составляют  12,2</w:t>
      </w:r>
      <w:r w:rsidRPr="001C7815">
        <w:rPr>
          <w:rFonts w:ascii="Times New Roman" w:hAnsi="Times New Roman"/>
          <w:sz w:val="24"/>
          <w:szCs w:val="24"/>
        </w:rPr>
        <w:t>%.</w:t>
      </w:r>
    </w:p>
    <w:p w:rsidR="00840928" w:rsidRDefault="00840928" w:rsidP="00840928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доля со</w:t>
      </w:r>
      <w:r w:rsidR="001C7815">
        <w:rPr>
          <w:rFonts w:ascii="Times New Roman" w:hAnsi="Times New Roman"/>
          <w:sz w:val="24"/>
          <w:szCs w:val="24"/>
        </w:rPr>
        <w:t>бственных доходов составила 49,5</w:t>
      </w:r>
      <w:r>
        <w:rPr>
          <w:rFonts w:ascii="Times New Roman" w:hAnsi="Times New Roman"/>
          <w:sz w:val="24"/>
          <w:szCs w:val="24"/>
        </w:rPr>
        <w:t>%</w:t>
      </w:r>
      <w:r w:rsidR="001C7815">
        <w:rPr>
          <w:rFonts w:ascii="Times New Roman" w:hAnsi="Times New Roman"/>
          <w:sz w:val="24"/>
          <w:szCs w:val="24"/>
        </w:rPr>
        <w:t>, что в сумме составляет 1162111,2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840928" w:rsidRDefault="00840928" w:rsidP="00840928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налоговым доходам планов</w:t>
      </w:r>
      <w:r w:rsidR="001C7815">
        <w:rPr>
          <w:rFonts w:ascii="Times New Roman" w:hAnsi="Times New Roman"/>
          <w:sz w:val="24"/>
          <w:szCs w:val="24"/>
        </w:rPr>
        <w:t>ые назначения выполнены на 113,8</w:t>
      </w:r>
      <w:r>
        <w:rPr>
          <w:rFonts w:ascii="Times New Roman" w:hAnsi="Times New Roman"/>
          <w:sz w:val="24"/>
          <w:szCs w:val="24"/>
        </w:rPr>
        <w:t>%.  Доля налоговых доходов в общ</w:t>
      </w:r>
      <w:r w:rsidR="001C7815">
        <w:rPr>
          <w:rFonts w:ascii="Times New Roman" w:hAnsi="Times New Roman"/>
          <w:sz w:val="24"/>
          <w:szCs w:val="24"/>
        </w:rPr>
        <w:t>ем объеме доходов составила 40,7% или 9570,6</w:t>
      </w:r>
      <w:r>
        <w:rPr>
          <w:rFonts w:ascii="Times New Roman" w:hAnsi="Times New Roman"/>
          <w:sz w:val="24"/>
          <w:szCs w:val="24"/>
        </w:rPr>
        <w:t xml:space="preserve"> тыс. рублей. По неналоговым </w:t>
      </w:r>
      <w:r>
        <w:rPr>
          <w:rFonts w:ascii="Times New Roman" w:hAnsi="Times New Roman"/>
          <w:sz w:val="24"/>
          <w:szCs w:val="24"/>
        </w:rPr>
        <w:lastRenderedPageBreak/>
        <w:t>доходам планов</w:t>
      </w:r>
      <w:r w:rsidR="001C7815">
        <w:rPr>
          <w:rFonts w:ascii="Times New Roman" w:hAnsi="Times New Roman"/>
          <w:sz w:val="24"/>
          <w:szCs w:val="24"/>
        </w:rPr>
        <w:t>ые назначения выполнены на 135,5</w:t>
      </w:r>
      <w:r>
        <w:rPr>
          <w:rFonts w:ascii="Times New Roman" w:hAnsi="Times New Roman"/>
          <w:sz w:val="24"/>
          <w:szCs w:val="24"/>
        </w:rPr>
        <w:t>%. Доля неналоговых доходов в об</w:t>
      </w:r>
      <w:r w:rsidR="001C7815">
        <w:rPr>
          <w:rFonts w:ascii="Times New Roman" w:hAnsi="Times New Roman"/>
          <w:sz w:val="24"/>
          <w:szCs w:val="24"/>
        </w:rPr>
        <w:t>щем объеме доходов составила 8,7% или 2050,6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1C7815" w:rsidRDefault="00840928" w:rsidP="001C7815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Безвозмездн</w:t>
      </w:r>
      <w:r w:rsidR="001C7815">
        <w:rPr>
          <w:rFonts w:ascii="Times New Roman" w:hAnsi="Times New Roman"/>
          <w:sz w:val="24"/>
          <w:szCs w:val="24"/>
        </w:rPr>
        <w:t>ые поступления выполнены на 100,0% и составляют 50,5</w:t>
      </w:r>
      <w:r>
        <w:rPr>
          <w:rFonts w:ascii="Times New Roman" w:hAnsi="Times New Roman"/>
          <w:sz w:val="24"/>
          <w:szCs w:val="24"/>
        </w:rPr>
        <w:t>% в общем объеме доходов, что в сумме соста</w:t>
      </w:r>
      <w:r w:rsidR="001C7815">
        <w:rPr>
          <w:rFonts w:ascii="Times New Roman" w:hAnsi="Times New Roman"/>
          <w:sz w:val="24"/>
          <w:szCs w:val="24"/>
        </w:rPr>
        <w:t>вляет 11871,3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C31731" w:rsidRPr="001C7815" w:rsidRDefault="00C31731" w:rsidP="007F00D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40928" w:rsidRPr="007F00D5" w:rsidRDefault="00840928" w:rsidP="007F00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 Исполнение бюджета по расходам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00D5">
        <w:rPr>
          <w:rFonts w:ascii="Times New Roman" w:hAnsi="Times New Roman"/>
          <w:b/>
          <w:sz w:val="24"/>
          <w:szCs w:val="24"/>
          <w:lang w:eastAsia="ru-RU"/>
        </w:rPr>
        <w:t>по функциональной классификации.</w:t>
      </w:r>
    </w:p>
    <w:p w:rsidR="00840928" w:rsidRDefault="00840928" w:rsidP="00840928">
      <w:pPr>
        <w:autoSpaceDE w:val="0"/>
        <w:autoSpaceDN w:val="0"/>
        <w:adjustRightInd w:val="0"/>
        <w:ind w:left="-709" w:right="-5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31731">
        <w:rPr>
          <w:rFonts w:ascii="Times New Roman" w:hAnsi="Times New Roman"/>
          <w:sz w:val="24"/>
          <w:szCs w:val="24"/>
        </w:rPr>
        <w:t xml:space="preserve">  был утвержден в сумме  </w:t>
      </w:r>
      <w:r w:rsidR="00C31731">
        <w:rPr>
          <w:rFonts w:ascii="Times New Roman" w:hAnsi="Times New Roman"/>
          <w:sz w:val="24"/>
          <w:szCs w:val="24"/>
        </w:rPr>
        <w:t xml:space="preserve">21935,3 </w:t>
      </w:r>
      <w:r w:rsidR="00C31731">
        <w:rPr>
          <w:rFonts w:ascii="Times New Roman" w:hAnsi="Times New Roman"/>
          <w:sz w:val="24"/>
          <w:szCs w:val="24"/>
        </w:rPr>
        <w:t xml:space="preserve"> тыс. руб.,  в течение  2017 года был у</w:t>
      </w:r>
      <w:r w:rsidR="0091550E">
        <w:rPr>
          <w:rFonts w:ascii="Times New Roman" w:hAnsi="Times New Roman"/>
          <w:sz w:val="24"/>
          <w:szCs w:val="24"/>
        </w:rPr>
        <w:t>величен</w:t>
      </w:r>
      <w:r w:rsidR="00C31731">
        <w:rPr>
          <w:rFonts w:ascii="Times New Roman" w:hAnsi="Times New Roman"/>
          <w:sz w:val="24"/>
          <w:szCs w:val="24"/>
        </w:rPr>
        <w:t xml:space="preserve"> на 1757,5 тыс. руб., или на 8,0</w:t>
      </w:r>
      <w:r>
        <w:rPr>
          <w:rFonts w:ascii="Times New Roman" w:hAnsi="Times New Roman"/>
          <w:sz w:val="24"/>
          <w:szCs w:val="24"/>
        </w:rPr>
        <w:t xml:space="preserve">% и составил </w:t>
      </w:r>
      <w:r w:rsidR="00C31731">
        <w:rPr>
          <w:rFonts w:ascii="Times New Roman" w:hAnsi="Times New Roman"/>
          <w:sz w:val="24"/>
          <w:szCs w:val="24"/>
        </w:rPr>
        <w:t xml:space="preserve">23692,8 </w:t>
      </w:r>
      <w:r>
        <w:rPr>
          <w:rFonts w:ascii="Times New Roman" w:hAnsi="Times New Roman"/>
          <w:sz w:val="24"/>
          <w:szCs w:val="24"/>
        </w:rPr>
        <w:t xml:space="preserve">тыс. руб. 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составило </w:t>
      </w:r>
      <w:r w:rsidR="00C31731">
        <w:rPr>
          <w:rFonts w:ascii="Times New Roman" w:hAnsi="Times New Roman"/>
          <w:sz w:val="24"/>
          <w:szCs w:val="24"/>
        </w:rPr>
        <w:t xml:space="preserve"> 99,1%, что в сумме составляет 23486,3</w:t>
      </w:r>
      <w:r>
        <w:rPr>
          <w:rFonts w:ascii="Times New Roman" w:hAnsi="Times New Roman"/>
          <w:sz w:val="24"/>
          <w:szCs w:val="24"/>
        </w:rPr>
        <w:t xml:space="preserve"> тыс. руб.. Исполнение расходов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Калтайс</w:t>
      </w:r>
      <w:r w:rsidR="00C31731">
        <w:rPr>
          <w:rFonts w:ascii="Times New Roman" w:hAnsi="Times New Roman"/>
          <w:sz w:val="24"/>
          <w:szCs w:val="24"/>
        </w:rPr>
        <w:t>кого</w:t>
      </w:r>
      <w:proofErr w:type="spellEnd"/>
      <w:proofErr w:type="gramEnd"/>
      <w:r w:rsidR="00C317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1731">
        <w:rPr>
          <w:rFonts w:ascii="Times New Roman" w:hAnsi="Times New Roman"/>
          <w:sz w:val="24"/>
          <w:szCs w:val="24"/>
        </w:rPr>
        <w:t>сельского</w:t>
      </w:r>
      <w:proofErr w:type="gramEnd"/>
      <w:r w:rsidR="00C31731">
        <w:rPr>
          <w:rFonts w:ascii="Times New Roman" w:hAnsi="Times New Roman"/>
          <w:sz w:val="24"/>
          <w:szCs w:val="24"/>
        </w:rPr>
        <w:t xml:space="preserve"> поселения за 2017</w:t>
      </w:r>
      <w:r>
        <w:rPr>
          <w:rFonts w:ascii="Times New Roman" w:hAnsi="Times New Roman"/>
          <w:sz w:val="24"/>
          <w:szCs w:val="24"/>
        </w:rPr>
        <w:t xml:space="preserve"> год по функциональной классифи</w:t>
      </w:r>
      <w:r w:rsidR="00C31731">
        <w:rPr>
          <w:rFonts w:ascii="Times New Roman" w:hAnsi="Times New Roman"/>
          <w:sz w:val="24"/>
          <w:szCs w:val="24"/>
        </w:rPr>
        <w:t>кации   представлено в таблице 3</w:t>
      </w:r>
      <w:r>
        <w:rPr>
          <w:rFonts w:ascii="Times New Roman" w:hAnsi="Times New Roman"/>
          <w:sz w:val="24"/>
          <w:szCs w:val="24"/>
        </w:rPr>
        <w:t>.</w:t>
      </w:r>
    </w:p>
    <w:p w:rsidR="00840928" w:rsidRDefault="00C31731" w:rsidP="00840928">
      <w:pPr>
        <w:tabs>
          <w:tab w:val="left" w:pos="2552"/>
        </w:tabs>
        <w:spacing w:after="0" w:line="240" w:lineRule="auto"/>
        <w:ind w:left="-709" w:right="-97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  <w:t>тыс. руб.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1134"/>
        <w:gridCol w:w="851"/>
        <w:gridCol w:w="992"/>
        <w:gridCol w:w="992"/>
        <w:gridCol w:w="851"/>
        <w:gridCol w:w="709"/>
        <w:gridCol w:w="992"/>
      </w:tblGrid>
      <w:tr w:rsidR="005B47A6" w:rsidTr="005228E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Pr="00C31731" w:rsidRDefault="005B47A6" w:rsidP="005228E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17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7A6" w:rsidRPr="00C31731" w:rsidRDefault="005B47A6" w:rsidP="005228E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Pr="00C31731" w:rsidRDefault="005B47A6" w:rsidP="005228E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1731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 год (решение Совета № 219 от 28.12.2016)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Pr="00C31731" w:rsidRDefault="005B47A6" w:rsidP="005228E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1731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2017 год (решение Совета  № 23 от 28.12.2017)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Pr="00C31731" w:rsidRDefault="005B47A6" w:rsidP="005228E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 за 201</w:t>
            </w:r>
            <w:r w:rsidRPr="00C31731">
              <w:rPr>
                <w:rFonts w:ascii="Times New Roman" w:hAnsi="Times New Roman"/>
                <w:sz w:val="20"/>
                <w:szCs w:val="20"/>
                <w:lang w:eastAsia="ru-RU"/>
              </w:rPr>
              <w:t>7год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Pr="00C31731" w:rsidRDefault="005B47A6" w:rsidP="005228E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1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C31731">
              <w:rPr>
                <w:rFonts w:ascii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="00E766B9">
              <w:rPr>
                <w:rFonts w:ascii="Times New Roman" w:hAnsi="Times New Roman"/>
                <w:sz w:val="20"/>
                <w:szCs w:val="20"/>
                <w:lang w:eastAsia="ru-RU"/>
              </w:rPr>
              <w:t>-не</w:t>
            </w:r>
            <w:r w:rsidRPr="00C31731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gramEnd"/>
          </w:p>
        </w:tc>
      </w:tr>
      <w:tr w:rsidR="005B47A6" w:rsidTr="005228E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6" w:rsidRDefault="005B47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 %</w:t>
            </w:r>
          </w:p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6" w:rsidRDefault="005B47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Общегосударственные вопросы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97,9</w:t>
            </w: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оборона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безопас</w:t>
            </w:r>
            <w:r w:rsidR="005228ED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и правоохранитель</w:t>
            </w:r>
            <w:r w:rsidR="005228ED"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Национальная экономика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47A6" w:rsidTr="005228ED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Жилищно-коммунальное хозяйство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98,7</w:t>
            </w: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tabs>
                <w:tab w:val="left" w:pos="1735"/>
              </w:tabs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tabs>
                <w:tab w:val="left" w:pos="1735"/>
              </w:tabs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99,2</w:t>
            </w:r>
          </w:p>
        </w:tc>
      </w:tr>
      <w:tr w:rsidR="005B47A6" w:rsidTr="005228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 w:rsidP="005228ED">
            <w:pPr>
              <w:spacing w:after="0" w:line="240" w:lineRule="auto"/>
              <w:ind w:left="34" w:right="-97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транс</w:t>
            </w:r>
            <w:r w:rsidR="005228ED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ферты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бюджетам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субъ</w:t>
            </w:r>
            <w:r w:rsidR="005228ED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ектов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РФ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муниципаль</w:t>
            </w:r>
            <w:r w:rsidR="005228ED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образований общего характера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B47A6" w:rsidTr="005228ED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A6" w:rsidRDefault="005B47A6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21935,3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23692,8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23486,3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6" w:rsidRDefault="005B47A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99,1</w:t>
            </w:r>
          </w:p>
        </w:tc>
      </w:tr>
    </w:tbl>
    <w:p w:rsidR="005228ED" w:rsidRPr="005228ED" w:rsidRDefault="005228ED" w:rsidP="005228E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8ED">
        <w:rPr>
          <w:rFonts w:ascii="Times New Roman" w:hAnsi="Times New Roman"/>
          <w:sz w:val="24"/>
          <w:szCs w:val="24"/>
        </w:rPr>
        <w:t xml:space="preserve">В функциональной классификации расходов </w:t>
      </w:r>
      <w:r>
        <w:rPr>
          <w:rFonts w:ascii="Times New Roman" w:hAnsi="Times New Roman"/>
          <w:sz w:val="24"/>
          <w:szCs w:val="24"/>
        </w:rPr>
        <w:t>изменены  9</w:t>
      </w:r>
      <w:r w:rsidRPr="005228ED">
        <w:rPr>
          <w:rFonts w:ascii="Times New Roman" w:hAnsi="Times New Roman"/>
          <w:sz w:val="24"/>
          <w:szCs w:val="24"/>
        </w:rPr>
        <w:t xml:space="preserve"> показателей из 9.</w:t>
      </w:r>
      <w:proofErr w:type="gramEnd"/>
      <w:r w:rsidRPr="005228ED">
        <w:rPr>
          <w:rFonts w:ascii="Times New Roman" w:hAnsi="Times New Roman"/>
          <w:sz w:val="24"/>
          <w:szCs w:val="24"/>
        </w:rPr>
        <w:t xml:space="preserve"> Структура расходов по сравнению с 2016 годом не претерпела существенных изменений. Приоритетными направлениями расходова</w:t>
      </w:r>
      <w:r>
        <w:rPr>
          <w:rFonts w:ascii="Times New Roman" w:hAnsi="Times New Roman"/>
          <w:sz w:val="24"/>
          <w:szCs w:val="24"/>
        </w:rPr>
        <w:t xml:space="preserve">ния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5228ED">
        <w:rPr>
          <w:rFonts w:ascii="Times New Roman" w:hAnsi="Times New Roman"/>
          <w:sz w:val="24"/>
          <w:szCs w:val="24"/>
        </w:rPr>
        <w:t xml:space="preserve"> сельского поселения в 2017 году являлись расходы на: общегосударственные </w:t>
      </w:r>
      <w:r>
        <w:rPr>
          <w:rFonts w:ascii="Times New Roman" w:hAnsi="Times New Roman"/>
          <w:sz w:val="24"/>
          <w:szCs w:val="24"/>
        </w:rPr>
        <w:t>вопросы  32,2</w:t>
      </w:r>
      <w:r w:rsidRPr="005228ED">
        <w:rPr>
          <w:rFonts w:ascii="Times New Roman" w:hAnsi="Times New Roman"/>
          <w:sz w:val="24"/>
          <w:szCs w:val="24"/>
        </w:rPr>
        <w:t xml:space="preserve">%; </w:t>
      </w:r>
      <w:r w:rsidR="00EE25EB">
        <w:rPr>
          <w:rFonts w:ascii="Times New Roman" w:hAnsi="Times New Roman"/>
          <w:sz w:val="24"/>
          <w:szCs w:val="24"/>
        </w:rPr>
        <w:t xml:space="preserve">культуру 29,9%, </w:t>
      </w:r>
      <w:r w:rsidRPr="005228ED">
        <w:rPr>
          <w:rFonts w:ascii="Times New Roman" w:hAnsi="Times New Roman"/>
          <w:sz w:val="24"/>
          <w:szCs w:val="24"/>
        </w:rPr>
        <w:t xml:space="preserve">жилищно-коммунальное хозяйство </w:t>
      </w:r>
      <w:r w:rsidR="00EE25EB">
        <w:rPr>
          <w:rFonts w:ascii="Times New Roman" w:hAnsi="Times New Roman"/>
          <w:sz w:val="24"/>
          <w:szCs w:val="24"/>
        </w:rPr>
        <w:t>12,7</w:t>
      </w:r>
      <w:r w:rsidRPr="005228ED">
        <w:rPr>
          <w:rFonts w:ascii="Times New Roman" w:hAnsi="Times New Roman"/>
          <w:sz w:val="24"/>
          <w:szCs w:val="24"/>
        </w:rPr>
        <w:t>%;  культуру 22,0</w:t>
      </w:r>
      <w:r w:rsidR="00EE25EB">
        <w:rPr>
          <w:rFonts w:ascii="Times New Roman" w:hAnsi="Times New Roman"/>
          <w:sz w:val="24"/>
          <w:szCs w:val="24"/>
        </w:rPr>
        <w:t>%, социальную политику  11</w:t>
      </w:r>
      <w:r w:rsidRPr="005228ED">
        <w:rPr>
          <w:rFonts w:ascii="Times New Roman" w:hAnsi="Times New Roman"/>
          <w:sz w:val="24"/>
          <w:szCs w:val="24"/>
        </w:rPr>
        <w:t>,5%.</w:t>
      </w:r>
    </w:p>
    <w:p w:rsidR="005228ED" w:rsidRPr="005228ED" w:rsidRDefault="005228ED" w:rsidP="005228E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r w:rsidRPr="005228ED">
        <w:rPr>
          <w:rFonts w:ascii="Times New Roman" w:hAnsi="Times New Roman"/>
          <w:sz w:val="24"/>
          <w:szCs w:val="24"/>
        </w:rPr>
        <w:t>Кассовые расходы бюджета поселен</w:t>
      </w:r>
      <w:r w:rsidR="00EE25EB">
        <w:rPr>
          <w:rFonts w:ascii="Times New Roman" w:hAnsi="Times New Roman"/>
          <w:sz w:val="24"/>
          <w:szCs w:val="24"/>
        </w:rPr>
        <w:t>ия за 2017 год составили 23486,3 тыс. рублей – 99,1</w:t>
      </w:r>
      <w:r w:rsidRPr="005228ED">
        <w:rPr>
          <w:rFonts w:ascii="Times New Roman" w:hAnsi="Times New Roman"/>
          <w:sz w:val="24"/>
          <w:szCs w:val="24"/>
        </w:rPr>
        <w:t xml:space="preserve">% к плановым назначениям, </w:t>
      </w:r>
      <w:proofErr w:type="spellStart"/>
      <w:r w:rsidRPr="005228ED">
        <w:rPr>
          <w:rFonts w:ascii="Times New Roman" w:hAnsi="Times New Roman"/>
          <w:sz w:val="24"/>
          <w:szCs w:val="24"/>
        </w:rPr>
        <w:t>недоисп</w:t>
      </w:r>
      <w:r w:rsidR="00EE25EB">
        <w:rPr>
          <w:rFonts w:ascii="Times New Roman" w:hAnsi="Times New Roman"/>
          <w:sz w:val="24"/>
          <w:szCs w:val="24"/>
        </w:rPr>
        <w:t>олнение</w:t>
      </w:r>
      <w:proofErr w:type="spellEnd"/>
      <w:r w:rsidR="00EE25EB">
        <w:rPr>
          <w:rFonts w:ascii="Times New Roman" w:hAnsi="Times New Roman"/>
          <w:sz w:val="24"/>
          <w:szCs w:val="24"/>
        </w:rPr>
        <w:t xml:space="preserve"> сложилось в сумме 206,5</w:t>
      </w:r>
      <w:r w:rsidRPr="005228ED">
        <w:rPr>
          <w:rFonts w:ascii="Times New Roman" w:hAnsi="Times New Roman"/>
          <w:sz w:val="24"/>
          <w:szCs w:val="24"/>
        </w:rPr>
        <w:t xml:space="preserve">  тыс. </w:t>
      </w:r>
      <w:r w:rsidR="00EE25EB">
        <w:rPr>
          <w:rFonts w:ascii="Times New Roman" w:hAnsi="Times New Roman"/>
          <w:sz w:val="24"/>
          <w:szCs w:val="24"/>
        </w:rPr>
        <w:t>рублей (0,9</w:t>
      </w:r>
      <w:r w:rsidRPr="005228ED">
        <w:rPr>
          <w:rFonts w:ascii="Times New Roman" w:hAnsi="Times New Roman"/>
          <w:sz w:val="24"/>
          <w:szCs w:val="24"/>
        </w:rPr>
        <w:t>%).</w:t>
      </w:r>
    </w:p>
    <w:p w:rsidR="00840928" w:rsidRPr="005228ED" w:rsidRDefault="00840928" w:rsidP="00840928">
      <w:pPr>
        <w:spacing w:after="0" w:line="240" w:lineRule="auto"/>
        <w:ind w:left="-709" w:right="-1"/>
        <w:jc w:val="center"/>
        <w:rPr>
          <w:rFonts w:ascii="Times New Roman" w:hAnsi="Times New Roman"/>
          <w:sz w:val="24"/>
          <w:szCs w:val="24"/>
        </w:rPr>
      </w:pPr>
    </w:p>
    <w:p w:rsidR="00840928" w:rsidRDefault="00840928" w:rsidP="00840928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Резервный фонд.</w:t>
      </w:r>
    </w:p>
    <w:p w:rsidR="00840928" w:rsidRDefault="00840928" w:rsidP="00840928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Согласно статье 81 Бюджетного кодекса Российской Федерации в расходной части бюджета предусматривается создание резервных фондов местных администраций. Порядок </w:t>
      </w:r>
      <w:r>
        <w:rPr>
          <w:rFonts w:ascii="Times New Roman" w:hAnsi="Times New Roman"/>
          <w:sz w:val="24"/>
          <w:szCs w:val="28"/>
        </w:rPr>
        <w:lastRenderedPageBreak/>
        <w:t xml:space="preserve">использования бюджетных ассигнований резервного фонда, предусмотренных в составе местного бюджета, устанавливается местной администрацией. Отчет об использовании бюджетных ассигнований резервных фондов местных администраций прилагается к ежеквартальному и годовому отчетам об исполнении бюджета. </w:t>
      </w: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основании решения о бюджете в расходной части бюджета запланированы ассигнования по подразделу 0111 «</w:t>
      </w:r>
      <w:r w:rsidR="00EE25EB">
        <w:rPr>
          <w:rFonts w:ascii="Times New Roman" w:hAnsi="Times New Roman"/>
          <w:sz w:val="24"/>
          <w:szCs w:val="28"/>
        </w:rPr>
        <w:t>Резервные фонды» в общей сумме 2</w:t>
      </w:r>
      <w:r>
        <w:rPr>
          <w:rFonts w:ascii="Times New Roman" w:hAnsi="Times New Roman"/>
          <w:sz w:val="24"/>
          <w:szCs w:val="28"/>
        </w:rPr>
        <w:t>00,0 тыс.</w:t>
      </w:r>
      <w:r w:rsidR="00EE25EB">
        <w:rPr>
          <w:rFonts w:ascii="Times New Roman" w:hAnsi="Times New Roman"/>
          <w:sz w:val="24"/>
          <w:szCs w:val="28"/>
        </w:rPr>
        <w:t xml:space="preserve"> рублей, (0,8</w:t>
      </w:r>
      <w:r>
        <w:rPr>
          <w:rFonts w:ascii="Times New Roman" w:hAnsi="Times New Roman"/>
          <w:sz w:val="24"/>
          <w:szCs w:val="28"/>
        </w:rPr>
        <w:t xml:space="preserve">% от расходной части бюджета), установленные Бюджетным Кодексом Российской Федерации ограничения соблюдены. </w:t>
      </w:r>
    </w:p>
    <w:p w:rsidR="00EE25EB" w:rsidRDefault="00840928" w:rsidP="00EE25EB">
      <w:pPr>
        <w:spacing w:after="0" w:line="252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7 статьи 81 Бюджетного Кодекса Российской Федерации одновременно с Отчетом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</w:t>
      </w:r>
      <w:r w:rsidR="00EE25EB">
        <w:rPr>
          <w:rFonts w:ascii="Times New Roman" w:hAnsi="Times New Roman"/>
          <w:sz w:val="24"/>
          <w:szCs w:val="24"/>
        </w:rPr>
        <w:t>кого</w:t>
      </w:r>
      <w:proofErr w:type="spellEnd"/>
      <w:r w:rsidR="00EE25EB">
        <w:rPr>
          <w:rFonts w:ascii="Times New Roman" w:hAnsi="Times New Roman"/>
          <w:sz w:val="24"/>
          <w:szCs w:val="24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</w:rPr>
        <w:t xml:space="preserve"> год представлен отчет об использовании резервного фонда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Калтайс</w:t>
      </w:r>
      <w:r w:rsidR="00EE25EB">
        <w:rPr>
          <w:rFonts w:ascii="Times New Roman" w:hAnsi="Times New Roman"/>
          <w:sz w:val="24"/>
          <w:szCs w:val="24"/>
        </w:rPr>
        <w:t>кого</w:t>
      </w:r>
      <w:proofErr w:type="spellEnd"/>
      <w:r w:rsidR="00EE25EB">
        <w:rPr>
          <w:rFonts w:ascii="Times New Roman" w:hAnsi="Times New Roman"/>
          <w:sz w:val="24"/>
          <w:szCs w:val="24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4"/>
        </w:rPr>
        <w:t xml:space="preserve"> год. Согласно данным представленного отчета ассигнования резервно</w:t>
      </w:r>
      <w:r w:rsidR="00EE25EB">
        <w:rPr>
          <w:rFonts w:ascii="Times New Roman" w:hAnsi="Times New Roman"/>
          <w:sz w:val="24"/>
          <w:szCs w:val="24"/>
        </w:rPr>
        <w:t>го фонда исполнены в сумме 95,0 (47,5</w:t>
      </w:r>
      <w:r>
        <w:rPr>
          <w:rFonts w:ascii="Times New Roman" w:hAnsi="Times New Roman"/>
          <w:sz w:val="24"/>
          <w:szCs w:val="24"/>
        </w:rPr>
        <w:t>%). Остаток резервного ф</w:t>
      </w:r>
      <w:r w:rsidR="00EE25EB">
        <w:rPr>
          <w:rFonts w:ascii="Times New Roman" w:hAnsi="Times New Roman"/>
          <w:sz w:val="24"/>
          <w:szCs w:val="24"/>
        </w:rPr>
        <w:t>онда поселения составляет 105,0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EE25EB" w:rsidRPr="00EE25EB" w:rsidRDefault="00EE25EB" w:rsidP="00EE25EB">
      <w:pPr>
        <w:spacing w:after="0" w:line="252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По данным «Сведений о дебиторской и кредиторской задолженности» ф. 0503169 и Баланса главного распорядителя ф 0503130 на 01.01.2016г и 01.01.2017г задолженность по расчетам с кредиторами и дебиторами составляла:</w:t>
      </w:r>
    </w:p>
    <w:p w:rsidR="00840928" w:rsidRDefault="00840928" w:rsidP="007F00D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840928" w:rsidRDefault="00840928" w:rsidP="00840928">
      <w:pPr>
        <w:pStyle w:val="a3"/>
        <w:numPr>
          <w:ilvl w:val="0"/>
          <w:numId w:val="1"/>
        </w:numPr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Анализ состояния дебиторской и кредиторской задолженности.</w:t>
      </w:r>
    </w:p>
    <w:p w:rsidR="00840928" w:rsidRDefault="00840928" w:rsidP="00840928">
      <w:pPr>
        <w:pStyle w:val="a3"/>
        <w:spacing w:after="0" w:line="240" w:lineRule="auto"/>
        <w:ind w:left="1429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EE25EB" w:rsidRDefault="00EE25EB" w:rsidP="00EE25EB">
      <w:pPr>
        <w:spacing w:after="0" w:line="252" w:lineRule="auto"/>
        <w:ind w:left="-709" w:right="-166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По данным «Сведений о дебиторской и кредиторской задолженности» ф. 0503169 и Баланса главного распо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рядителя ф 0503130 на 01.01.2017г и 01.01.2018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г задолженность по расчетам с кредиторами и дебиторами составляла:</w:t>
      </w:r>
    </w:p>
    <w:p w:rsidR="00EE25EB" w:rsidRDefault="00EE25EB" w:rsidP="00EE25EB">
      <w:pPr>
        <w:spacing w:after="0" w:line="252" w:lineRule="auto"/>
        <w:ind w:left="-709" w:right="-166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Дебиторская задолженность за 2017 год уменьшилась на 1017,9 тыс. руб. и  на 01.01.2017г составляет   3278,6  тыс. руб.</w:t>
      </w:r>
    </w:p>
    <w:p w:rsidR="00EE25EB" w:rsidRPr="00EE25EB" w:rsidRDefault="00EE25EB" w:rsidP="00EE25EB">
      <w:pPr>
        <w:spacing w:after="0" w:line="252" w:lineRule="auto"/>
        <w:ind w:left="-709" w:right="-166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Кредиторская задолженность уменьшилась на 124,8 тыс. руб. и на 01.01.2018г составляет 4983,6 тыс. рублей.</w:t>
      </w:r>
    </w:p>
    <w:p w:rsidR="00EE25EB" w:rsidRDefault="00EE25EB" w:rsidP="00EE25EB">
      <w:pPr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Просроченной кредиторской и дебиторской задолженности нет.</w:t>
      </w:r>
    </w:p>
    <w:p w:rsidR="00EE25EB" w:rsidRPr="00EE25EB" w:rsidRDefault="00EE25EB" w:rsidP="00EE25EB">
      <w:pPr>
        <w:spacing w:after="0" w:line="252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</w:p>
    <w:p w:rsidR="00840928" w:rsidRDefault="00EE25EB" w:rsidP="008409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4</w:t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</w:r>
      <w:r w:rsidR="00840928">
        <w:rPr>
          <w:rFonts w:ascii="Times New Roman" w:hAnsi="Times New Roman"/>
          <w:sz w:val="24"/>
          <w:szCs w:val="24"/>
          <w:lang w:eastAsia="ru-RU"/>
        </w:rPr>
        <w:tab/>
        <w:t>тыс. руб.</w:t>
      </w:r>
    </w:p>
    <w:p w:rsidR="00840928" w:rsidRDefault="00840928" w:rsidP="008409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459" w:type="dxa"/>
        <w:tblLook w:val="01E0" w:firstRow="1" w:lastRow="1" w:firstColumn="1" w:lastColumn="1" w:noHBand="0" w:noVBand="0"/>
      </w:tblPr>
      <w:tblGrid>
        <w:gridCol w:w="2553"/>
        <w:gridCol w:w="2377"/>
        <w:gridCol w:w="2377"/>
        <w:gridCol w:w="2382"/>
      </w:tblGrid>
      <w:tr w:rsidR="00840928" w:rsidTr="00EE25E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8" w:rsidRDefault="008409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8" w:rsidRDefault="00EE25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01.01.2017</w:t>
            </w:r>
            <w:r w:rsidR="008409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8" w:rsidRDefault="00EE25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</w:t>
            </w:r>
            <w:r w:rsidR="0084092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8" w:rsidRDefault="0084092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(+;-)</w:t>
            </w:r>
            <w:proofErr w:type="gramEnd"/>
          </w:p>
        </w:tc>
      </w:tr>
      <w:tr w:rsidR="008F7CF3" w:rsidTr="008F7CF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F3" w:rsidRDefault="008F7C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Дебиторская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3" w:rsidRDefault="008F7CF3" w:rsidP="009F46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3278,6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3" w:rsidRDefault="008F7C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3115,8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3" w:rsidRDefault="008F7C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- 162,8</w:t>
            </w:r>
          </w:p>
        </w:tc>
      </w:tr>
      <w:tr w:rsidR="008F7CF3" w:rsidTr="008F7CF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F3" w:rsidRDefault="008F7C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3" w:rsidRDefault="008F7CF3" w:rsidP="009F46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4983,6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3" w:rsidRDefault="008F7C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5077,1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F3" w:rsidRDefault="008F7C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+ 93,5</w:t>
            </w:r>
          </w:p>
        </w:tc>
      </w:tr>
    </w:tbl>
    <w:p w:rsidR="00EE25EB" w:rsidRDefault="00EE25EB" w:rsidP="00EE25EB">
      <w:pPr>
        <w:spacing w:after="0" w:line="252" w:lineRule="auto"/>
        <w:ind w:left="-709" w:right="-166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Дебиторская задолженность за 2017</w:t>
      </w:r>
      <w:r w:rsidR="008F7CF3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год уменьшилась на 162,8 тыс. руб. и  на 01.01.2018г составляет   3115,8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 тыс. руб.</w:t>
      </w:r>
    </w:p>
    <w:p w:rsidR="00EE25EB" w:rsidRPr="00EE25EB" w:rsidRDefault="00EE25EB" w:rsidP="00EE25EB">
      <w:pPr>
        <w:spacing w:after="0" w:line="252" w:lineRule="auto"/>
        <w:ind w:left="-709" w:right="-166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Кредит</w:t>
      </w:r>
      <w:r w:rsidR="008F7CF3">
        <w:rPr>
          <w:rFonts w:ascii="Times New Roman CYR" w:hAnsi="Times New Roman CYR" w:cs="Times New Roman CYR"/>
          <w:bCs/>
          <w:sz w:val="24"/>
          <w:szCs w:val="24"/>
          <w:lang w:eastAsia="ru-RU"/>
        </w:rPr>
        <w:t>орская задолженность увеличилась на 93,5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тыс. руб. и на 01.01.2018</w:t>
      </w:r>
      <w:r w:rsidR="008F7CF3">
        <w:rPr>
          <w:rFonts w:ascii="Times New Roman CYR" w:hAnsi="Times New Roman CYR" w:cs="Times New Roman CYR"/>
          <w:bCs/>
          <w:sz w:val="24"/>
          <w:szCs w:val="24"/>
          <w:lang w:eastAsia="ru-RU"/>
        </w:rPr>
        <w:t>г составляет 5077,1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тыс. рублей.</w:t>
      </w:r>
    </w:p>
    <w:p w:rsidR="00EE25EB" w:rsidRDefault="00EE25EB" w:rsidP="00EE25EB">
      <w:pPr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Просроченной кредиторской и дебиторской задолженности нет.</w:t>
      </w: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840928" w:rsidRDefault="00840928" w:rsidP="00840928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Анализ движения нефинансовых активов.</w:t>
      </w: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Стоимость</w:t>
      </w:r>
      <w:r w:rsidR="00B459F2">
        <w:rPr>
          <w:rFonts w:ascii="Times New Roman" w:hAnsi="Times New Roman"/>
          <w:color w:val="000000"/>
          <w:sz w:val="24"/>
          <w:szCs w:val="24"/>
        </w:rPr>
        <w:t xml:space="preserve"> основных средств на начало 2017</w:t>
      </w:r>
      <w:r>
        <w:rPr>
          <w:rFonts w:ascii="Times New Roman" w:hAnsi="Times New Roman"/>
          <w:color w:val="000000"/>
          <w:sz w:val="24"/>
          <w:szCs w:val="24"/>
        </w:rPr>
        <w:t xml:space="preserve"> года составляла  </w:t>
      </w:r>
      <w:r w:rsidR="00B459F2">
        <w:rPr>
          <w:rFonts w:ascii="Times New Roman" w:hAnsi="Times New Roman"/>
          <w:color w:val="000000"/>
          <w:sz w:val="24"/>
          <w:szCs w:val="24"/>
        </w:rPr>
        <w:t>33514,8</w:t>
      </w:r>
      <w:r>
        <w:rPr>
          <w:rFonts w:ascii="Times New Roman" w:hAnsi="Times New Roman"/>
          <w:color w:val="000000"/>
          <w:sz w:val="24"/>
          <w:szCs w:val="24"/>
        </w:rPr>
        <w:t xml:space="preserve"> тыс. рублей. Поступило основных средств з</w:t>
      </w:r>
      <w:r w:rsidR="00B459F2">
        <w:rPr>
          <w:rFonts w:ascii="Times New Roman" w:hAnsi="Times New Roman"/>
          <w:color w:val="000000"/>
          <w:sz w:val="24"/>
          <w:szCs w:val="24"/>
        </w:rPr>
        <w:t>а отчетный период в сумме 3316,0</w:t>
      </w:r>
      <w:r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="00B459F2">
        <w:rPr>
          <w:rFonts w:ascii="Times New Roman" w:hAnsi="Times New Roman"/>
          <w:color w:val="000000"/>
          <w:sz w:val="24"/>
          <w:szCs w:val="24"/>
        </w:rPr>
        <w:t>ыс. рублей (жилые помещения 2600,0 тыс. руб., сооружения – 174,6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руб., маш</w:t>
      </w:r>
      <w:r w:rsidR="00B459F2">
        <w:rPr>
          <w:rFonts w:ascii="Times New Roman" w:hAnsi="Times New Roman"/>
          <w:color w:val="000000"/>
          <w:sz w:val="24"/>
          <w:szCs w:val="24"/>
        </w:rPr>
        <w:t>ины и оборудование в сумме 541,3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производственный и хозяйственный инвентарь в сумме 29,2 тыс. руб., прочие основные средства в сумме 39,6 тыс. руб.). Выбытие основных ср</w:t>
      </w:r>
      <w:r w:rsidR="00B459F2">
        <w:rPr>
          <w:rFonts w:ascii="Times New Roman" w:hAnsi="Times New Roman"/>
          <w:color w:val="000000"/>
          <w:sz w:val="24"/>
          <w:szCs w:val="24"/>
        </w:rPr>
        <w:t>е</w:t>
      </w:r>
      <w:proofErr w:type="gramStart"/>
      <w:r w:rsidR="00B459F2">
        <w:rPr>
          <w:rFonts w:ascii="Times New Roman" w:hAnsi="Times New Roman"/>
          <w:color w:val="000000"/>
          <w:sz w:val="24"/>
          <w:szCs w:val="24"/>
        </w:rPr>
        <w:t>дств  пр</w:t>
      </w:r>
      <w:proofErr w:type="gramEnd"/>
      <w:r w:rsidR="00B459F2">
        <w:rPr>
          <w:rFonts w:ascii="Times New Roman" w:hAnsi="Times New Roman"/>
          <w:color w:val="000000"/>
          <w:sz w:val="24"/>
          <w:szCs w:val="24"/>
        </w:rPr>
        <w:t>оизведено в сумме 1717,3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4461B1">
        <w:rPr>
          <w:rFonts w:ascii="Times New Roman" w:hAnsi="Times New Roman"/>
          <w:color w:val="000000"/>
          <w:sz w:val="24"/>
          <w:szCs w:val="24"/>
        </w:rPr>
        <w:t xml:space="preserve"> (жилые помещения в сумме 929,7 тыс. руб., машины и оборудование в сумме 434,8 тыс. руб., транспортные средства в сумме 352,3 тыс. руб., </w:t>
      </w:r>
      <w:r w:rsidR="004461B1">
        <w:rPr>
          <w:rFonts w:ascii="Times New Roman" w:hAnsi="Times New Roman"/>
          <w:color w:val="000000"/>
          <w:sz w:val="24"/>
          <w:szCs w:val="24"/>
        </w:rPr>
        <w:lastRenderedPageBreak/>
        <w:t>производственный и хозяйственный инвентарь в сумме 0,5 тыс. руб.)</w:t>
      </w:r>
      <w:r>
        <w:rPr>
          <w:rFonts w:ascii="Times New Roman" w:hAnsi="Times New Roman"/>
          <w:color w:val="000000"/>
          <w:sz w:val="24"/>
          <w:szCs w:val="24"/>
        </w:rPr>
        <w:t>. Остаток на конец отче</w:t>
      </w:r>
      <w:r w:rsidR="004461B1">
        <w:rPr>
          <w:rFonts w:ascii="Times New Roman" w:hAnsi="Times New Roman"/>
          <w:color w:val="000000"/>
          <w:sz w:val="24"/>
          <w:szCs w:val="24"/>
        </w:rPr>
        <w:t>тного периода составил – 35113,5</w:t>
      </w:r>
      <w:r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Сумма начисленной амортизации по осно</w:t>
      </w:r>
      <w:r w:rsidR="004461B1">
        <w:rPr>
          <w:rFonts w:ascii="Times New Roman" w:hAnsi="Times New Roman"/>
          <w:color w:val="000000"/>
          <w:sz w:val="24"/>
          <w:szCs w:val="24"/>
        </w:rPr>
        <w:t>вным средствам составила 17456,4</w:t>
      </w:r>
      <w:r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Стоимость матер</w:t>
      </w:r>
      <w:r w:rsidR="004461B1">
        <w:rPr>
          <w:rFonts w:ascii="Times New Roman" w:hAnsi="Times New Roman"/>
          <w:color w:val="000000"/>
          <w:sz w:val="24"/>
          <w:szCs w:val="24"/>
        </w:rPr>
        <w:t>иальных запасов на начало 2017</w:t>
      </w:r>
      <w:r>
        <w:rPr>
          <w:rFonts w:ascii="Times New Roman" w:hAnsi="Times New Roman"/>
          <w:color w:val="000000"/>
          <w:sz w:val="24"/>
          <w:szCs w:val="24"/>
        </w:rPr>
        <w:t xml:space="preserve"> года составляла </w:t>
      </w:r>
      <w:r w:rsidR="004461B1">
        <w:rPr>
          <w:rFonts w:ascii="Times New Roman" w:hAnsi="Times New Roman"/>
          <w:color w:val="000000"/>
          <w:sz w:val="24"/>
          <w:szCs w:val="24"/>
        </w:rPr>
        <w:t xml:space="preserve">316,8 </w:t>
      </w:r>
      <w:r>
        <w:rPr>
          <w:rFonts w:ascii="Times New Roman" w:hAnsi="Times New Roman"/>
          <w:color w:val="000000"/>
          <w:sz w:val="24"/>
          <w:szCs w:val="24"/>
        </w:rPr>
        <w:t>тыс. руб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Поступило материальных запасов </w:t>
      </w:r>
      <w:r w:rsidR="004461B1">
        <w:rPr>
          <w:rFonts w:ascii="Times New Roman" w:hAnsi="Times New Roman"/>
          <w:color w:val="000000"/>
          <w:sz w:val="24"/>
          <w:szCs w:val="24"/>
        </w:rPr>
        <w:t>за отчетный период в сумме 1114,9 тыс. рублей, выбыло – 854,2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 На конец отчетного </w:t>
      </w:r>
      <w:r w:rsidR="004461B1">
        <w:rPr>
          <w:rFonts w:ascii="Times New Roman" w:hAnsi="Times New Roman"/>
          <w:color w:val="000000"/>
          <w:sz w:val="24"/>
          <w:szCs w:val="24"/>
        </w:rPr>
        <w:t>периода остаток составляет 577,5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840928" w:rsidRDefault="00840928" w:rsidP="00840928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840928" w:rsidRDefault="00840928" w:rsidP="007F00D5">
      <w:pPr>
        <w:spacing w:after="0" w:line="240" w:lineRule="auto"/>
        <w:ind w:left="-709" w:right="-1"/>
        <w:outlineLvl w:val="0"/>
        <w:rPr>
          <w:rFonts w:ascii="Times New Roman" w:hAnsi="Times New Roman"/>
          <w:b/>
          <w:sz w:val="24"/>
          <w:szCs w:val="28"/>
        </w:rPr>
      </w:pPr>
      <w:bookmarkStart w:id="5" w:name="_GoBack"/>
      <w:bookmarkEnd w:id="5"/>
      <w:r>
        <w:rPr>
          <w:rFonts w:ascii="Times New Roman" w:hAnsi="Times New Roman"/>
          <w:b/>
          <w:sz w:val="24"/>
          <w:szCs w:val="28"/>
        </w:rPr>
        <w:t>Выводы:</w:t>
      </w:r>
    </w:p>
    <w:p w:rsidR="00840928" w:rsidRDefault="00840928" w:rsidP="00840928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</w:t>
      </w:r>
      <w:r w:rsidR="007F00D5">
        <w:rPr>
          <w:rFonts w:ascii="Times New Roman" w:hAnsi="Times New Roman"/>
          <w:sz w:val="24"/>
          <w:szCs w:val="24"/>
        </w:rPr>
        <w:t>8.12.2010 № 191н (в редакции от 02.11.207 № 176н</w:t>
      </w:r>
      <w:r>
        <w:rPr>
          <w:rFonts w:ascii="Times New Roman" w:hAnsi="Times New Roman"/>
          <w:sz w:val="24"/>
          <w:szCs w:val="24"/>
        </w:rPr>
        <w:t>), с соблюдением  сроков, определенных Бюджетным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кодексом РФ и Положением «О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Калтайском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Бюджетная отчетность главного распорядителя бюджетных средств соответствует требованиям бюджетного законод</w:t>
      </w:r>
      <w:r w:rsidR="007F00D5">
        <w:rPr>
          <w:rFonts w:ascii="Times New Roman" w:hAnsi="Times New Roman"/>
          <w:sz w:val="24"/>
          <w:szCs w:val="24"/>
        </w:rPr>
        <w:t>ательства. Формы отчетов за 2017</w:t>
      </w:r>
      <w:r>
        <w:rPr>
          <w:rFonts w:ascii="Times New Roman" w:hAnsi="Times New Roman"/>
          <w:sz w:val="24"/>
          <w:szCs w:val="24"/>
        </w:rP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840928" w:rsidRDefault="00840928" w:rsidP="00840928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Счётная палата подтверждает достоверность данных, представленных в проекте решения Совета </w:t>
      </w:r>
      <w:proofErr w:type="spellStart"/>
      <w:r>
        <w:rPr>
          <w:rFonts w:ascii="Times New Roman" w:hAnsi="Times New Roman"/>
          <w:sz w:val="24"/>
          <w:szCs w:val="28"/>
        </w:rPr>
        <w:t>Калтайского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«Об утверждении отчета об исполнении бюджета </w:t>
      </w:r>
      <w:proofErr w:type="spellStart"/>
      <w:r>
        <w:rPr>
          <w:rFonts w:ascii="Times New Roman" w:hAnsi="Times New Roman"/>
          <w:sz w:val="24"/>
          <w:szCs w:val="28"/>
        </w:rPr>
        <w:t>Калтайс</w:t>
      </w:r>
      <w:r w:rsidR="007F00D5">
        <w:rPr>
          <w:rFonts w:ascii="Times New Roman" w:hAnsi="Times New Roman"/>
          <w:sz w:val="24"/>
          <w:szCs w:val="28"/>
        </w:rPr>
        <w:t>кого</w:t>
      </w:r>
      <w:proofErr w:type="spellEnd"/>
      <w:r w:rsidR="007F00D5">
        <w:rPr>
          <w:rFonts w:ascii="Times New Roman" w:hAnsi="Times New Roman"/>
          <w:sz w:val="24"/>
          <w:szCs w:val="28"/>
        </w:rPr>
        <w:t xml:space="preserve"> сельского поселения за 2017</w:t>
      </w:r>
      <w:r>
        <w:rPr>
          <w:rFonts w:ascii="Times New Roman" w:hAnsi="Times New Roman"/>
          <w:sz w:val="24"/>
          <w:szCs w:val="28"/>
        </w:rPr>
        <w:t> год» и рекомендует его к утверждению</w:t>
      </w:r>
      <w:r w:rsidR="007F00D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0928" w:rsidRDefault="00840928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840928" w:rsidRDefault="00840928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840928" w:rsidRDefault="00840928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840928" w:rsidRDefault="00B65CF4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Председатель Счетной палаты                                                                            Г.М. </w:t>
      </w:r>
      <w:proofErr w:type="spellStart"/>
      <w:r>
        <w:rPr>
          <w:rFonts w:ascii="Times New Roman" w:hAnsi="Times New Roman"/>
          <w:sz w:val="24"/>
          <w:szCs w:val="28"/>
        </w:rPr>
        <w:t>Басирова</w:t>
      </w:r>
      <w:proofErr w:type="spellEnd"/>
    </w:p>
    <w:p w:rsidR="00B65CF4" w:rsidRDefault="00B65CF4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65CF4" w:rsidRDefault="00B65CF4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65CF4" w:rsidRDefault="00B65CF4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65CF4" w:rsidRDefault="00B65CF4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65CF4" w:rsidRDefault="00B65CF4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7F00D5" w:rsidRDefault="007F00D5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7F00D5" w:rsidRDefault="007F00D5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65CF4" w:rsidRDefault="00B65CF4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840928" w:rsidRDefault="00840928" w:rsidP="00840928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 8 (восьми) листах получил:</w:t>
      </w:r>
    </w:p>
    <w:p w:rsidR="00840928" w:rsidRDefault="00840928" w:rsidP="00840928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 ______________________________________________________________________________________</w:t>
      </w:r>
    </w:p>
    <w:p w:rsidR="00840928" w:rsidRDefault="00840928" w:rsidP="00840928">
      <w:pPr>
        <w:suppressAutoHyphens/>
        <w:spacing w:after="0" w:line="240" w:lineRule="auto"/>
        <w:ind w:right="-709" w:hanging="709"/>
        <w:jc w:val="both"/>
      </w:pP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(должность, ФИО,  дата и подпись)</w:t>
      </w:r>
    </w:p>
    <w:p w:rsidR="00840928" w:rsidRDefault="00840928" w:rsidP="00840928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</w:p>
    <w:p w:rsidR="00840928" w:rsidRDefault="00840928" w:rsidP="00840928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</w:rPr>
      </w:pPr>
    </w:p>
    <w:p w:rsidR="00840928" w:rsidRDefault="00840928" w:rsidP="00840928"/>
    <w:sectPr w:rsidR="00840928" w:rsidSect="004A292D">
      <w:footerReference w:type="default" r:id="rId13"/>
      <w:pgSz w:w="11906" w:h="16838"/>
      <w:pgMar w:top="851" w:right="851" w:bottom="851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00" w:rsidRDefault="00844100" w:rsidP="003D5574">
      <w:pPr>
        <w:spacing w:after="0" w:line="240" w:lineRule="auto"/>
      </w:pPr>
      <w:r>
        <w:separator/>
      </w:r>
    </w:p>
  </w:endnote>
  <w:endnote w:type="continuationSeparator" w:id="0">
    <w:p w:rsidR="00844100" w:rsidRDefault="00844100" w:rsidP="003D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057323"/>
      <w:docPartObj>
        <w:docPartGallery w:val="Page Numbers (Bottom of Page)"/>
        <w:docPartUnique/>
      </w:docPartObj>
    </w:sdtPr>
    <w:sdtContent>
      <w:p w:rsidR="001C7815" w:rsidRDefault="001C78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0D5">
          <w:rPr>
            <w:noProof/>
          </w:rPr>
          <w:t>8</w:t>
        </w:r>
        <w:r>
          <w:fldChar w:fldCharType="end"/>
        </w:r>
      </w:p>
    </w:sdtContent>
  </w:sdt>
  <w:p w:rsidR="001C7815" w:rsidRDefault="001C78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00" w:rsidRDefault="00844100" w:rsidP="003D5574">
      <w:pPr>
        <w:spacing w:after="0" w:line="240" w:lineRule="auto"/>
      </w:pPr>
      <w:r>
        <w:separator/>
      </w:r>
    </w:p>
  </w:footnote>
  <w:footnote w:type="continuationSeparator" w:id="0">
    <w:p w:rsidR="00844100" w:rsidRDefault="00844100" w:rsidP="003D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03EF6"/>
    <w:multiLevelType w:val="hybridMultilevel"/>
    <w:tmpl w:val="DAD248D4"/>
    <w:lvl w:ilvl="0" w:tplc="53181138">
      <w:start w:val="8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28"/>
    <w:rsid w:val="001C7815"/>
    <w:rsid w:val="00296BC8"/>
    <w:rsid w:val="003D5574"/>
    <w:rsid w:val="004461B1"/>
    <w:rsid w:val="004A292D"/>
    <w:rsid w:val="005228ED"/>
    <w:rsid w:val="005244B2"/>
    <w:rsid w:val="005B47A6"/>
    <w:rsid w:val="007E7C0A"/>
    <w:rsid w:val="007F00D5"/>
    <w:rsid w:val="007F04A7"/>
    <w:rsid w:val="00840928"/>
    <w:rsid w:val="00844100"/>
    <w:rsid w:val="008D5BF7"/>
    <w:rsid w:val="008F7CF3"/>
    <w:rsid w:val="0091550E"/>
    <w:rsid w:val="009227D4"/>
    <w:rsid w:val="0093193D"/>
    <w:rsid w:val="009A294C"/>
    <w:rsid w:val="009E5F43"/>
    <w:rsid w:val="009F0F6E"/>
    <w:rsid w:val="00B459F2"/>
    <w:rsid w:val="00B65CF4"/>
    <w:rsid w:val="00C31731"/>
    <w:rsid w:val="00E02595"/>
    <w:rsid w:val="00E766B9"/>
    <w:rsid w:val="00E80FF0"/>
    <w:rsid w:val="00EE25EB"/>
    <w:rsid w:val="00F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28"/>
    <w:pPr>
      <w:ind w:left="720"/>
      <w:contextualSpacing/>
    </w:pPr>
  </w:style>
  <w:style w:type="paragraph" w:customStyle="1" w:styleId="ConsPlusNormal">
    <w:name w:val="ConsPlusNormal"/>
    <w:rsid w:val="008409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4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840928"/>
    <w:rPr>
      <w:rFonts w:ascii="Times New Roman" w:hAnsi="Times New Roman" w:cs="Times New Roman" w:hint="default"/>
    </w:rPr>
  </w:style>
  <w:style w:type="table" w:styleId="a4">
    <w:name w:val="Table Grid"/>
    <w:basedOn w:val="a1"/>
    <w:rsid w:val="00840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40928"/>
    <w:rPr>
      <w:color w:val="0000FF"/>
      <w:u w:val="single"/>
    </w:rPr>
  </w:style>
  <w:style w:type="paragraph" w:styleId="a6">
    <w:name w:val="No Spacing"/>
    <w:uiPriority w:val="1"/>
    <w:qFormat/>
    <w:rsid w:val="003D55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3D5574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3D5574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D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57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D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574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E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28"/>
    <w:pPr>
      <w:ind w:left="720"/>
      <w:contextualSpacing/>
    </w:pPr>
  </w:style>
  <w:style w:type="paragraph" w:customStyle="1" w:styleId="ConsPlusNormal">
    <w:name w:val="ConsPlusNormal"/>
    <w:rsid w:val="008409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84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840928"/>
    <w:rPr>
      <w:rFonts w:ascii="Times New Roman" w:hAnsi="Times New Roman" w:cs="Times New Roman" w:hint="default"/>
    </w:rPr>
  </w:style>
  <w:style w:type="table" w:styleId="a4">
    <w:name w:val="Table Grid"/>
    <w:basedOn w:val="a1"/>
    <w:rsid w:val="00840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40928"/>
    <w:rPr>
      <w:color w:val="0000FF"/>
      <w:u w:val="single"/>
    </w:rPr>
  </w:style>
  <w:style w:type="paragraph" w:styleId="a6">
    <w:name w:val="No Spacing"/>
    <w:uiPriority w:val="1"/>
    <w:qFormat/>
    <w:rsid w:val="003D55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mesNewRoman">
    <w:name w:val="Обычный + Times New Roman Знак"/>
    <w:aliases w:val="12 пт Знак"/>
    <w:link w:val="TimesNewRoman0"/>
    <w:locked/>
    <w:rsid w:val="003D5574"/>
    <w:rPr>
      <w:sz w:val="24"/>
      <w:szCs w:val="24"/>
    </w:rPr>
  </w:style>
  <w:style w:type="paragraph" w:customStyle="1" w:styleId="TimesNewRoman0">
    <w:name w:val="Обычный + Times New Roman"/>
    <w:aliases w:val="12 пт"/>
    <w:basedOn w:val="a"/>
    <w:link w:val="TimesNewRoman"/>
    <w:rsid w:val="003D5574"/>
    <w:pPr>
      <w:keepNext/>
      <w:spacing w:after="0" w:line="240" w:lineRule="auto"/>
      <w:ind w:left="-709" w:right="-1" w:firstLine="425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D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57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D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574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E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FACCF0Fv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E0010DAFCC0Fv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2018-06-05T04:14:00Z</cp:lastPrinted>
  <dcterms:created xsi:type="dcterms:W3CDTF">2018-06-04T09:43:00Z</dcterms:created>
  <dcterms:modified xsi:type="dcterms:W3CDTF">2018-06-05T04:17:00Z</dcterms:modified>
</cp:coreProperties>
</file>