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E5" w:rsidRDefault="00AC6DE5" w:rsidP="00AC6DE5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89977106" r:id="rId10"/>
        </w:object>
      </w:r>
    </w:p>
    <w:p w:rsidR="00AC6DE5" w:rsidRDefault="00AC6DE5" w:rsidP="00AC6DE5">
      <w:pPr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Муниципальное образование «Томский район»</w:t>
      </w:r>
    </w:p>
    <w:p w:rsidR="00AC6DE5" w:rsidRDefault="00AC6DE5" w:rsidP="00AC6D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Дума Томского района</w:t>
      </w:r>
    </w:p>
    <w:p w:rsidR="00AC6DE5" w:rsidRPr="00AC6DE5" w:rsidRDefault="00AC6DE5" w:rsidP="00AC6D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DE5">
        <w:rPr>
          <w:b/>
          <w:bCs/>
          <w:sz w:val="28"/>
          <w:szCs w:val="28"/>
        </w:rPr>
        <w:t xml:space="preserve">Счетная палата </w:t>
      </w:r>
    </w:p>
    <w:p w:rsidR="00AC6DE5" w:rsidRDefault="00AC6DE5" w:rsidP="00AC6DE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C6DE5">
        <w:rPr>
          <w:sz w:val="20"/>
          <w:szCs w:val="20"/>
        </w:rPr>
        <w:t xml:space="preserve">пр. Фрунзе, 59а,  г. Томск, Россия, 634061, тел. </w:t>
      </w:r>
      <w:r w:rsidRPr="00AC6DE5">
        <w:rPr>
          <w:sz w:val="20"/>
          <w:szCs w:val="20"/>
          <w:lang w:val="en-US"/>
        </w:rPr>
        <w:t>(</w:t>
      </w:r>
      <w:r w:rsidRPr="00AC6DE5">
        <w:rPr>
          <w:sz w:val="20"/>
          <w:szCs w:val="20"/>
        </w:rPr>
        <w:t>факс</w:t>
      </w:r>
      <w:r w:rsidRPr="00AC6DE5">
        <w:rPr>
          <w:sz w:val="20"/>
          <w:szCs w:val="20"/>
          <w:lang w:val="en-US"/>
        </w:rPr>
        <w:t>) 44-22-61</w:t>
      </w:r>
      <w:r>
        <w:rPr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AC6DE5">
          <w:rPr>
            <w:rStyle w:val="a3"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AC6DE5">
          <w:rPr>
            <w:rStyle w:val="a3"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AC6DE5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AC6DE5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Pr="00AC6DE5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AC6DE5" w:rsidRDefault="00AC6DE5" w:rsidP="00AC6DE5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AC6DE5" w:rsidRDefault="00AC6DE5" w:rsidP="00AC6DE5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C6DE5" w:rsidRDefault="00AC6DE5" w:rsidP="00AC6DE5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№ 19</w:t>
      </w:r>
    </w:p>
    <w:p w:rsidR="00AC6DE5" w:rsidRDefault="00AC6DE5" w:rsidP="00AC6DE5">
      <w:pPr>
        <w:keepNext/>
        <w:autoSpaceDE w:val="0"/>
        <w:autoSpaceDN w:val="0"/>
        <w:adjustRightInd w:val="0"/>
        <w:ind w:left="-709" w:right="-1"/>
        <w:jc w:val="center"/>
        <w:outlineLvl w:val="0"/>
        <w:rPr>
          <w:b/>
          <w:bCs/>
        </w:rPr>
      </w:pPr>
      <w:r>
        <w:rPr>
          <w:b/>
          <w:bCs/>
        </w:rPr>
        <w:t>по итогам внешней проверки отчёта об исполнении бюджета</w:t>
      </w:r>
    </w:p>
    <w:p w:rsidR="00AC6DE5" w:rsidRDefault="00AC6DE5" w:rsidP="00AC6DE5">
      <w:pPr>
        <w:keepNext/>
        <w:autoSpaceDE w:val="0"/>
        <w:autoSpaceDN w:val="0"/>
        <w:adjustRightInd w:val="0"/>
        <w:ind w:left="-709" w:right="-1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Турунтаевского</w:t>
      </w:r>
      <w:proofErr w:type="spellEnd"/>
      <w:r>
        <w:rPr>
          <w:b/>
          <w:bCs/>
        </w:rPr>
        <w:t xml:space="preserve"> сельского</w:t>
      </w:r>
      <w:r>
        <w:t xml:space="preserve"> </w:t>
      </w:r>
      <w:r>
        <w:rPr>
          <w:b/>
          <w:bCs/>
        </w:rPr>
        <w:t>поселения за 2017 год.</w:t>
      </w:r>
    </w:p>
    <w:p w:rsidR="00AC6DE5" w:rsidRDefault="00AC6DE5" w:rsidP="00AC6DE5">
      <w:pPr>
        <w:pStyle w:val="a5"/>
        <w:jc w:val="center"/>
        <w:rPr>
          <w:sz w:val="28"/>
          <w:szCs w:val="28"/>
        </w:rPr>
      </w:pPr>
    </w:p>
    <w:p w:rsidR="00AC6DE5" w:rsidRDefault="00AC6DE5" w:rsidP="00AC6DE5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27.04. 2018г. </w:t>
      </w:r>
    </w:p>
    <w:p w:rsidR="00AC6DE5" w:rsidRDefault="00AC6DE5" w:rsidP="00AC6DE5">
      <w:pPr>
        <w:ind w:firstLine="709"/>
        <w:jc w:val="both"/>
        <w:outlineLvl w:val="0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AC6DE5" w:rsidRDefault="00AC6DE5" w:rsidP="00AC6DE5">
      <w:pPr>
        <w:ind w:firstLine="709"/>
        <w:jc w:val="both"/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 xml:space="preserve">пункт 2.21  плана работы Счетной палаты муниципального образования «Томский район» на 2018 год, утвержденного распоряжением  Счетной палаты от 28.12.2017г. № 16,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границах Томского района, за 2016 год» </w:t>
      </w:r>
      <w:r>
        <w:t xml:space="preserve">от  16.03.2018 № 7, </w:t>
      </w:r>
      <w:r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Турунтаевского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от 30.03.2017г № 19,  обращение Совета </w:t>
      </w:r>
      <w:proofErr w:type="spellStart"/>
      <w:r>
        <w:rPr>
          <w:rFonts w:ascii="Times New Roman CYR" w:hAnsi="Times New Roman CYR" w:cs="Times New Roman CYR"/>
        </w:rPr>
        <w:t>Турунтаевского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от 30.03.2018г            № 89.</w:t>
      </w:r>
      <w:r>
        <w:t xml:space="preserve">  </w:t>
      </w:r>
    </w:p>
    <w:p w:rsidR="00AC6DE5" w:rsidRDefault="00AC6DE5" w:rsidP="00AC6DE5">
      <w:pPr>
        <w:ind w:firstLine="709"/>
        <w:jc w:val="both"/>
        <w:outlineLvl w:val="0"/>
        <w:rPr>
          <w:b/>
        </w:rPr>
      </w:pPr>
      <w:r>
        <w:rPr>
          <w:b/>
        </w:rPr>
        <w:t>Цель экспертно-аналитического мероприятия:</w:t>
      </w:r>
    </w:p>
    <w:p w:rsidR="00AC6DE5" w:rsidRDefault="00AC6DE5" w:rsidP="00AC6DE5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AC6DE5" w:rsidRDefault="00AC6DE5" w:rsidP="00AC6DE5">
      <w:pPr>
        <w:ind w:firstLine="709"/>
        <w:jc w:val="both"/>
        <w:outlineLvl w:val="0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AC6DE5" w:rsidRDefault="00AC6DE5" w:rsidP="00AC6DE5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2017 год.</w:t>
      </w:r>
    </w:p>
    <w:p w:rsidR="00AC6DE5" w:rsidRDefault="00AC6DE5" w:rsidP="00AC6DE5">
      <w:pPr>
        <w:ind w:firstLine="709"/>
        <w:jc w:val="both"/>
        <w:outlineLvl w:val="0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AC6DE5" w:rsidRDefault="00AC6DE5" w:rsidP="00AC6DE5">
      <w:pPr>
        <w:ind w:firstLine="709"/>
        <w:jc w:val="both"/>
      </w:pPr>
      <w:r>
        <w:t xml:space="preserve"> Администрация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</w:p>
    <w:p w:rsidR="00AC6DE5" w:rsidRDefault="00AC6DE5" w:rsidP="00AC6DE5">
      <w:pPr>
        <w:ind w:firstLine="709"/>
        <w:jc w:val="both"/>
        <w:outlineLvl w:val="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</w:p>
    <w:p w:rsidR="00AC6DE5" w:rsidRDefault="00AC6DE5" w:rsidP="00AC6DE5">
      <w:pPr>
        <w:ind w:firstLine="709"/>
        <w:jc w:val="both"/>
        <w:rPr>
          <w:b/>
        </w:rPr>
      </w:pPr>
      <w:r>
        <w:t>Проверка проводилась с 01 апреля по 27 апреля 2018г. в помещении Счетной палаты по адресу: г. Томск, пр. Фрунзе, 59а.</w:t>
      </w:r>
    </w:p>
    <w:p w:rsidR="00AC6DE5" w:rsidRDefault="00AC6DE5" w:rsidP="00AC6DE5">
      <w:pPr>
        <w:jc w:val="both"/>
        <w:rPr>
          <w:b/>
        </w:rPr>
      </w:pPr>
    </w:p>
    <w:p w:rsidR="00AC6DE5" w:rsidRDefault="00AC6DE5" w:rsidP="00AC6DE5">
      <w:pPr>
        <w:ind w:firstLine="709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AC6DE5" w:rsidRDefault="00AC6DE5" w:rsidP="00AC6DE5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Общая информация.</w:t>
      </w:r>
    </w:p>
    <w:p w:rsidR="00AC6DE5" w:rsidRDefault="00AC6DE5" w:rsidP="00AC6DE5">
      <w:pPr>
        <w:pStyle w:val="ListParagraph"/>
        <w:ind w:left="1069"/>
        <w:rPr>
          <w:b/>
          <w:bCs/>
        </w:rPr>
      </w:pPr>
    </w:p>
    <w:p w:rsidR="00AC6DE5" w:rsidRDefault="00AC6DE5" w:rsidP="00AC6DE5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Турунтаевское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AC6DE5" w:rsidRDefault="00AC6DE5" w:rsidP="00AC6DE5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Турунтаевское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AC6DE5" w:rsidRDefault="00AC6DE5" w:rsidP="00AC6DE5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Cs w:val="24"/>
        </w:rPr>
        <w:t>Турунтаевское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AC6DE5" w:rsidRDefault="00AC6DE5" w:rsidP="00AC6DE5">
      <w:pPr>
        <w:ind w:firstLine="540"/>
        <w:jc w:val="both"/>
      </w:pPr>
      <w:r>
        <w:lastRenderedPageBreak/>
        <w:t xml:space="preserve">Административным центром </w:t>
      </w:r>
      <w:proofErr w:type="spellStart"/>
      <w:r>
        <w:t>Турунаевского</w:t>
      </w:r>
      <w:proofErr w:type="spellEnd"/>
      <w:r>
        <w:t xml:space="preserve"> сельского поселения является село Турунтаево.</w:t>
      </w:r>
    </w:p>
    <w:p w:rsidR="00AC6DE5" w:rsidRDefault="00AC6DE5" w:rsidP="00AC6DE5">
      <w:pPr>
        <w:ind w:firstLine="709"/>
        <w:jc w:val="both"/>
      </w:pPr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AC6DE5" w:rsidRDefault="00AC6DE5" w:rsidP="00AC6DE5">
      <w:pPr>
        <w:ind w:firstLine="709"/>
        <w:jc w:val="both"/>
      </w:pPr>
      <w: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AC6DE5" w:rsidRDefault="00AC6DE5" w:rsidP="00AC6DE5">
      <w:pPr>
        <w:ind w:firstLine="709"/>
        <w:jc w:val="both"/>
      </w:pPr>
      <w:r>
        <w:t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(в редакции от 02.11.2017 № 176н)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AC6DE5" w:rsidRDefault="00AC6DE5" w:rsidP="00AC6DE5">
      <w:pPr>
        <w:ind w:firstLine="709"/>
        <w:jc w:val="both"/>
      </w:pPr>
      <w:proofErr w:type="gramStart"/>
      <w:r>
        <w:t xml:space="preserve">При проверке использованы: отчет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2017 год,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от 30.12.2016г.  № 119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 год» (с изменениями), отчет по поступлениям и выбытиям на 01.01.2018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</w:t>
      </w:r>
      <w:proofErr w:type="gramEnd"/>
      <w:r>
        <w:t xml:space="preserve"> Томской области, бюджетная отчетность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 за 2017 год  и другие документы. </w:t>
      </w:r>
    </w:p>
    <w:p w:rsidR="00AC6DE5" w:rsidRDefault="00AC6DE5" w:rsidP="00AC6DE5">
      <w:pPr>
        <w:ind w:firstLine="709"/>
        <w:jc w:val="both"/>
      </w:pPr>
      <w:r>
        <w:t xml:space="preserve">В ходе исполнения решения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30.12.2016г. № 119 "О бюджете  </w:t>
      </w:r>
      <w:proofErr w:type="spellStart"/>
      <w:r>
        <w:t>Турунтаевского</w:t>
      </w:r>
      <w:proofErr w:type="spellEnd"/>
      <w:r>
        <w:t xml:space="preserve"> сельского поселения на 2017   год" (далее – Решение) в него вносились изменения </w:t>
      </w:r>
      <w:r w:rsidR="00210164" w:rsidRPr="00210164">
        <w:t>12</w:t>
      </w:r>
      <w:r w:rsidRPr="00210164">
        <w:t xml:space="preserve"> раз.</w:t>
      </w:r>
    </w:p>
    <w:p w:rsidR="00AC6DE5" w:rsidRDefault="00AC6DE5" w:rsidP="00AC6DE5">
      <w:pPr>
        <w:spacing w:line="240" w:lineRule="atLeast"/>
        <w:ind w:firstLine="709"/>
        <w:jc w:val="both"/>
      </w:pPr>
      <w: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AC6DE5" w:rsidRDefault="00AC6DE5" w:rsidP="00AC6DE5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AC6DE5" w:rsidRDefault="00AC6DE5" w:rsidP="00AC6DE5">
      <w:pPr>
        <w:ind w:firstLine="709"/>
        <w:jc w:val="both"/>
      </w:pPr>
    </w:p>
    <w:p w:rsidR="00AC6DE5" w:rsidRDefault="00AC6DE5" w:rsidP="00AC6DE5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AC6DE5" w:rsidRDefault="00AC6DE5" w:rsidP="00AC6DE5">
      <w:pPr>
        <w:ind w:firstLine="709"/>
        <w:jc w:val="both"/>
      </w:pPr>
    </w:p>
    <w:tbl>
      <w:tblPr>
        <w:tblStyle w:val="ac"/>
        <w:tblW w:w="9885" w:type="dxa"/>
        <w:tblLayout w:type="fixed"/>
        <w:tblLook w:val="04A0" w:firstRow="1" w:lastRow="0" w:firstColumn="1" w:lastColumn="0" w:noHBand="0" w:noVBand="1"/>
      </w:tblPr>
      <w:tblGrid>
        <w:gridCol w:w="2123"/>
        <w:gridCol w:w="1102"/>
        <w:gridCol w:w="1416"/>
        <w:gridCol w:w="739"/>
        <w:gridCol w:w="1132"/>
        <w:gridCol w:w="1274"/>
        <w:gridCol w:w="992"/>
        <w:gridCol w:w="1107"/>
      </w:tblGrid>
      <w:tr w:rsidR="00AC6DE5" w:rsidTr="00AC6DE5">
        <w:trPr>
          <w:trHeight w:val="239"/>
        </w:trPr>
        <w:tc>
          <w:tcPr>
            <w:tcW w:w="2123" w:type="dxa"/>
            <w:vMerge w:val="restart"/>
          </w:tcPr>
          <w:p w:rsidR="00AC6DE5" w:rsidRDefault="00AC6DE5" w:rsidP="00AC6DE5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AC6DE5" w:rsidRDefault="00AC6DE5" w:rsidP="00AC6DE5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8" w:type="dxa"/>
            <w:gridSpan w:val="2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</w:tcPr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hideMark/>
          </w:tcPr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1107" w:type="dxa"/>
            <w:vMerge w:val="restart"/>
          </w:tcPr>
          <w:p w:rsidR="00AC6DE5" w:rsidRDefault="00AC6DE5" w:rsidP="00AC6DE5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AC6DE5" w:rsidRDefault="00AC6DE5" w:rsidP="00AC6DE5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AC6DE5" w:rsidRDefault="00AC6DE5" w:rsidP="00AC6DE5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AC6DE5" w:rsidTr="00AC6DE5">
        <w:trPr>
          <w:trHeight w:val="685"/>
        </w:trPr>
        <w:tc>
          <w:tcPr>
            <w:tcW w:w="2123" w:type="dxa"/>
            <w:vMerge/>
            <w:hideMark/>
          </w:tcPr>
          <w:p w:rsidR="00AC6DE5" w:rsidRDefault="00AC6DE5" w:rsidP="00AC6DE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hideMark/>
          </w:tcPr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16 </w:t>
            </w:r>
          </w:p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27.12.2017       (с учетом изменений)</w:t>
            </w:r>
          </w:p>
        </w:tc>
        <w:tc>
          <w:tcPr>
            <w:tcW w:w="739" w:type="dxa"/>
            <w:vMerge/>
            <w:hideMark/>
          </w:tcPr>
          <w:p w:rsidR="00AC6DE5" w:rsidRDefault="00AC6DE5" w:rsidP="00AC6DE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hideMark/>
          </w:tcPr>
          <w:p w:rsidR="00AC6DE5" w:rsidRDefault="00AC6DE5" w:rsidP="00AC6DE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hideMark/>
          </w:tcPr>
          <w:p w:rsidR="00AC6DE5" w:rsidRDefault="00AC6DE5" w:rsidP="00AC6DE5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hideMark/>
          </w:tcPr>
          <w:p w:rsidR="00AC6DE5" w:rsidRDefault="00AC6DE5" w:rsidP="00AC6DE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hideMark/>
          </w:tcPr>
          <w:p w:rsidR="00AC6DE5" w:rsidRDefault="00AC6DE5" w:rsidP="00AC6DE5">
            <w:pPr>
              <w:rPr>
                <w:sz w:val="16"/>
                <w:szCs w:val="16"/>
                <w:lang w:eastAsia="en-US"/>
              </w:rPr>
            </w:pPr>
          </w:p>
        </w:tc>
      </w:tr>
      <w:tr w:rsidR="00AC6DE5" w:rsidTr="00AC6DE5">
        <w:trPr>
          <w:trHeight w:val="129"/>
        </w:trPr>
        <w:tc>
          <w:tcPr>
            <w:tcW w:w="2123" w:type="dxa"/>
            <w:hideMark/>
          </w:tcPr>
          <w:p w:rsidR="00AC6DE5" w:rsidRDefault="00AC6DE5" w:rsidP="00AC6DE5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hideMark/>
          </w:tcPr>
          <w:p w:rsidR="00AC6DE5" w:rsidRDefault="00AC6DE5" w:rsidP="00AC6DE5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hideMark/>
          </w:tcPr>
          <w:p w:rsidR="00AC6DE5" w:rsidRDefault="00AC6DE5" w:rsidP="00AC6DE5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hideMark/>
          </w:tcPr>
          <w:p w:rsidR="00AC6DE5" w:rsidRDefault="00AC6DE5" w:rsidP="00AC6DE5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7" w:type="dxa"/>
            <w:hideMark/>
          </w:tcPr>
          <w:p w:rsidR="00AC6DE5" w:rsidRDefault="00AC6DE5" w:rsidP="00AC6D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AC6DE5" w:rsidTr="00AC6DE5">
        <w:trPr>
          <w:trHeight w:val="390"/>
        </w:trPr>
        <w:tc>
          <w:tcPr>
            <w:tcW w:w="2123" w:type="dxa"/>
            <w:hideMark/>
          </w:tcPr>
          <w:p w:rsidR="00AC6DE5" w:rsidRDefault="00AC6DE5" w:rsidP="00AC6DE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</w:tcPr>
          <w:p w:rsidR="00AC6DE5" w:rsidRDefault="00AC6DE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14546,1</w:t>
            </w:r>
          </w:p>
        </w:tc>
        <w:tc>
          <w:tcPr>
            <w:tcW w:w="1416" w:type="dxa"/>
          </w:tcPr>
          <w:p w:rsidR="00AC6DE5" w:rsidRDefault="00AC6DE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14546,1</w:t>
            </w:r>
          </w:p>
        </w:tc>
        <w:tc>
          <w:tcPr>
            <w:tcW w:w="739" w:type="dxa"/>
          </w:tcPr>
          <w:p w:rsidR="00AC6DE5" w:rsidRDefault="00D327F5" w:rsidP="00AC6DE5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AC6DE5" w:rsidRDefault="0026446B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14934,9</w:t>
            </w:r>
          </w:p>
        </w:tc>
        <w:tc>
          <w:tcPr>
            <w:tcW w:w="1274" w:type="dxa"/>
          </w:tcPr>
          <w:p w:rsidR="00AC6DE5" w:rsidRDefault="0026446B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14934,9</w:t>
            </w:r>
          </w:p>
        </w:tc>
        <w:tc>
          <w:tcPr>
            <w:tcW w:w="992" w:type="dxa"/>
          </w:tcPr>
          <w:p w:rsidR="00AC6DE5" w:rsidRDefault="0026446B" w:rsidP="00AC6DE5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AC6DE5" w:rsidRDefault="00D327F5" w:rsidP="00AC6DE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</w:tr>
      <w:tr w:rsidR="00AC6DE5" w:rsidTr="00AC6DE5">
        <w:trPr>
          <w:trHeight w:val="390"/>
        </w:trPr>
        <w:tc>
          <w:tcPr>
            <w:tcW w:w="2123" w:type="dxa"/>
            <w:hideMark/>
          </w:tcPr>
          <w:p w:rsidR="00AC6DE5" w:rsidRDefault="00AC6DE5" w:rsidP="00AC6DE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</w:tcPr>
          <w:p w:rsidR="00AC6DE5" w:rsidRDefault="00D327F5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14857,4</w:t>
            </w:r>
          </w:p>
        </w:tc>
        <w:tc>
          <w:tcPr>
            <w:tcW w:w="1416" w:type="dxa"/>
          </w:tcPr>
          <w:p w:rsidR="00AC6DE5" w:rsidRDefault="00D327F5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14857,4</w:t>
            </w:r>
          </w:p>
        </w:tc>
        <w:tc>
          <w:tcPr>
            <w:tcW w:w="739" w:type="dxa"/>
          </w:tcPr>
          <w:p w:rsidR="00AC6DE5" w:rsidRDefault="00D327F5" w:rsidP="00AC6DE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AC6DE5" w:rsidRDefault="00D327F5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14752,6</w:t>
            </w:r>
          </w:p>
        </w:tc>
        <w:tc>
          <w:tcPr>
            <w:tcW w:w="1274" w:type="dxa"/>
          </w:tcPr>
          <w:p w:rsidR="00AC6DE5" w:rsidRDefault="00D327F5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14752,6</w:t>
            </w:r>
          </w:p>
        </w:tc>
        <w:tc>
          <w:tcPr>
            <w:tcW w:w="992" w:type="dxa"/>
          </w:tcPr>
          <w:p w:rsidR="00AC6DE5" w:rsidRDefault="00D327F5" w:rsidP="00AC6DE5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AC6DE5" w:rsidRDefault="00D327F5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</w:tr>
      <w:tr w:rsidR="00AC6DE5" w:rsidTr="00AC6DE5">
        <w:trPr>
          <w:trHeight w:val="571"/>
        </w:trPr>
        <w:tc>
          <w:tcPr>
            <w:tcW w:w="2123" w:type="dxa"/>
            <w:hideMark/>
          </w:tcPr>
          <w:p w:rsidR="00AC6DE5" w:rsidRDefault="00AC6DE5" w:rsidP="00AC6DE5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</w:tcPr>
          <w:p w:rsidR="00AC6DE5" w:rsidRDefault="00D327F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311,3</w:t>
            </w:r>
          </w:p>
          <w:p w:rsidR="00D327F5" w:rsidRDefault="00D327F5" w:rsidP="00D327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</w:tcPr>
          <w:p w:rsidR="00AC6DE5" w:rsidRDefault="00D327F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311,3</w:t>
            </w:r>
          </w:p>
        </w:tc>
        <w:tc>
          <w:tcPr>
            <w:tcW w:w="739" w:type="dxa"/>
          </w:tcPr>
          <w:p w:rsidR="00AC6DE5" w:rsidRDefault="00D327F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</w:tcPr>
          <w:p w:rsidR="00AC6DE5" w:rsidRDefault="0026446B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1274" w:type="dxa"/>
          </w:tcPr>
          <w:p w:rsidR="00AC6DE5" w:rsidRDefault="0026446B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182,3</w:t>
            </w:r>
          </w:p>
        </w:tc>
        <w:tc>
          <w:tcPr>
            <w:tcW w:w="992" w:type="dxa"/>
          </w:tcPr>
          <w:p w:rsidR="00AC6DE5" w:rsidRDefault="00D327F5" w:rsidP="00AC6DE5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</w:tcPr>
          <w:p w:rsidR="00AC6DE5" w:rsidRDefault="0026446B" w:rsidP="00AC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AC6DE5" w:rsidRDefault="00AC6DE5" w:rsidP="00AC6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DE5" w:rsidRDefault="00AC6DE5" w:rsidP="00AC6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  <w:r w:rsidR="00D327F5">
        <w:rPr>
          <w:rFonts w:ascii="Times New Roman" w:hAnsi="Times New Roman" w:cs="Times New Roman"/>
          <w:sz w:val="24"/>
          <w:szCs w:val="24"/>
        </w:rPr>
        <w:t xml:space="preserve"> поселения  от 30.12.2016г. № 119</w:t>
      </w:r>
      <w:r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</w:t>
      </w:r>
      <w:r w:rsidR="00D327F5">
        <w:rPr>
          <w:rFonts w:ascii="Times New Roman" w:hAnsi="Times New Roman" w:cs="Times New Roman"/>
          <w:sz w:val="24"/>
          <w:szCs w:val="24"/>
        </w:rPr>
        <w:t>селения утвержден в сумме 311,3</w:t>
      </w:r>
      <w:r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26446B" w:rsidRPr="0026446B">
        <w:rPr>
          <w:rFonts w:ascii="Times New Roman" w:hAnsi="Times New Roman" w:cs="Times New Roman"/>
          <w:sz w:val="24"/>
          <w:szCs w:val="24"/>
        </w:rPr>
        <w:t>10,7</w:t>
      </w:r>
      <w:r w:rsidRPr="0026446B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Превышение установленного 10% ограничения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AC6DE5" w:rsidRDefault="00AC6DE5" w:rsidP="00AC6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исполнения бюджета поселения  сложился профицит  в размере </w:t>
      </w:r>
      <w:r w:rsidR="00C6785B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26446B">
        <w:rPr>
          <w:rFonts w:ascii="Times New Roman" w:hAnsi="Times New Roman" w:cs="Times New Roman"/>
          <w:sz w:val="24"/>
          <w:szCs w:val="24"/>
          <w:lang w:eastAsia="en-US"/>
        </w:rPr>
        <w:t>82,3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</w:rPr>
        <w:t xml:space="preserve"> </w:t>
      </w:r>
    </w:p>
    <w:p w:rsidR="00AC6DE5" w:rsidRDefault="00AC6DE5" w:rsidP="00AC6DE5">
      <w:pPr>
        <w:ind w:firstLine="709"/>
        <w:jc w:val="both"/>
      </w:pPr>
      <w:r>
        <w:t xml:space="preserve">В 2017 году бюджетные кредиты не привлекались, муниципальный долг отсутствовал, расходы на его обслуживание не производились. </w:t>
      </w:r>
    </w:p>
    <w:p w:rsidR="00AC6DE5" w:rsidRDefault="00AC6DE5" w:rsidP="00AC6DE5">
      <w:pPr>
        <w:ind w:firstLine="709"/>
        <w:jc w:val="both"/>
      </w:pPr>
      <w:r>
        <w:t>Кассовое обслуживание</w:t>
      </w:r>
      <w:r w:rsidR="00C6785B">
        <w:t xml:space="preserve"> исполнения бюджета </w:t>
      </w:r>
      <w:proofErr w:type="spellStart"/>
      <w:r w:rsidR="00C6785B">
        <w:t>Турунтаевского</w:t>
      </w:r>
      <w:proofErr w:type="spellEnd"/>
      <w:r>
        <w:t xml:space="preserve"> сельского поселения осуществлялось Управлением федерального казначейства по Томской области.</w:t>
      </w:r>
    </w:p>
    <w:p w:rsidR="00AC6DE5" w:rsidRDefault="00AC6DE5" w:rsidP="00AC6DE5">
      <w:pPr>
        <w:ind w:firstLine="709"/>
        <w:jc w:val="both"/>
      </w:pPr>
      <w:r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</w:t>
      </w:r>
      <w:r w:rsidR="00C6785B">
        <w:t xml:space="preserve">джета Администрации </w:t>
      </w:r>
      <w:proofErr w:type="spellStart"/>
      <w:r w:rsidR="00C6785B">
        <w:t>Турунтаевского</w:t>
      </w:r>
      <w:proofErr w:type="spellEnd"/>
      <w:r>
        <w:t xml:space="preserve"> сельского поселения» на 01.01.2018г.  установлено соответствие сумм. </w:t>
      </w:r>
    </w:p>
    <w:p w:rsidR="00AC6DE5" w:rsidRDefault="00AC6DE5" w:rsidP="00AC6DE5">
      <w:pPr>
        <w:ind w:firstLine="709"/>
        <w:jc w:val="both"/>
      </w:pPr>
      <w:r>
        <w:t>При проведении сверки показателей формы 0503150 «Баланс по операциям кассового обслуживания исполнения бюджета»  Управления Федерального казначейства по Томской области и формы 0503120 «Баланс исполнения бюд</w:t>
      </w:r>
      <w:r w:rsidR="00C6785B">
        <w:t xml:space="preserve">жета Администрации  </w:t>
      </w:r>
      <w:proofErr w:type="spellStart"/>
      <w:r w:rsidR="00C6785B">
        <w:t>Турунтаевского</w:t>
      </w:r>
      <w:proofErr w:type="spellEnd"/>
      <w:r>
        <w:t xml:space="preserve"> сельского поселения» на 01.01.2018г.   установлено соответствие сумм. </w:t>
      </w:r>
    </w:p>
    <w:p w:rsidR="00AC6DE5" w:rsidRDefault="00AC6DE5" w:rsidP="00AC6DE5">
      <w:pPr>
        <w:rPr>
          <w:b/>
        </w:rPr>
      </w:pPr>
    </w:p>
    <w:p w:rsidR="00AC6DE5" w:rsidRDefault="00AC6DE5" w:rsidP="00AC6DE5">
      <w:pPr>
        <w:rPr>
          <w:b/>
        </w:rPr>
      </w:pPr>
    </w:p>
    <w:p w:rsidR="00AC6DE5" w:rsidRDefault="00AC6DE5" w:rsidP="00AC6DE5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степени финансовой устойчивости бюджета.</w:t>
      </w:r>
    </w:p>
    <w:p w:rsidR="00AC6DE5" w:rsidRDefault="00AC6DE5" w:rsidP="00AC6DE5">
      <w:pPr>
        <w:pStyle w:val="ListParagraph"/>
        <w:ind w:left="1069"/>
        <w:rPr>
          <w:b/>
        </w:rPr>
      </w:pPr>
    </w:p>
    <w:p w:rsidR="00AC6DE5" w:rsidRDefault="00AC6DE5" w:rsidP="00AC6DE5">
      <w:pPr>
        <w:ind w:firstLine="709"/>
        <w:jc w:val="both"/>
      </w:pPr>
      <w: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>
        <w:t>дотационности</w:t>
      </w:r>
      <w:proofErr w:type="spellEnd"/>
      <w:r>
        <w:t xml:space="preserve">. </w:t>
      </w:r>
      <w:proofErr w:type="gramStart"/>
      <w:r>
        <w:t>Оценивается степень зависимости бюджета от финансовой помощи из районного и областного бюджетов.</w:t>
      </w:r>
      <w:proofErr w:type="gramEnd"/>
      <w:r>
        <w:t xml:space="preserve"> Анализ финансовой устойчивости проводится по следующим показателям:</w:t>
      </w:r>
    </w:p>
    <w:p w:rsidR="00AC6DE5" w:rsidRDefault="00AC6DE5" w:rsidP="00AC6DE5">
      <w:pPr>
        <w:ind w:firstLine="709"/>
        <w:jc w:val="both"/>
      </w:pPr>
      <w:r>
        <w:t>-коэффициент бюджетной зависимости (показывает долю дотаций и субсидий в общей сумме доходов  бюджета за вычетом субв</w:t>
      </w:r>
      <w:r w:rsidR="00AC4691">
        <w:t>енций) плановый коэффициент 2017 года – 82,7%,  фактический –  80,3</w:t>
      </w:r>
      <w:r>
        <w:t>%;</w:t>
      </w:r>
    </w:p>
    <w:p w:rsidR="00AC6DE5" w:rsidRDefault="00AC6DE5" w:rsidP="00AC6DE5">
      <w:pPr>
        <w:ind w:firstLine="709"/>
        <w:jc w:val="both"/>
      </w:pPr>
      <w:r>
        <w:t xml:space="preserve"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 плановый коэффициент – </w:t>
      </w:r>
      <w:r w:rsidR="00AC4691">
        <w:t xml:space="preserve"> 17,3%, фактический – 19,7</w:t>
      </w:r>
      <w:r>
        <w:t>%.</w:t>
      </w:r>
    </w:p>
    <w:p w:rsidR="00AC6DE5" w:rsidRDefault="00AC6DE5" w:rsidP="00AC6DE5">
      <w:pPr>
        <w:ind w:firstLine="709"/>
        <w:jc w:val="both"/>
      </w:pPr>
      <w:r>
        <w:t xml:space="preserve">Анализируя  плановые и фактические значения, приходим к  выводу, что </w:t>
      </w:r>
      <w:r w:rsidR="00AC4691">
        <w:t>б</w:t>
      </w:r>
      <w:r>
        <w:t>юджет поселения в значительной степени зависит от финансовой помощи из бюджета района и области.</w:t>
      </w:r>
    </w:p>
    <w:p w:rsidR="00AC6DE5" w:rsidRDefault="00AC6DE5" w:rsidP="00AC6DE5">
      <w:pPr>
        <w:jc w:val="both"/>
      </w:pPr>
    </w:p>
    <w:p w:rsidR="00AC6DE5" w:rsidRDefault="00AC6DE5" w:rsidP="00AC6DE5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Состав и содержание форм отчетности.</w:t>
      </w:r>
    </w:p>
    <w:p w:rsidR="00AC6DE5" w:rsidRDefault="00AC6DE5" w:rsidP="00AC6DE5">
      <w:pPr>
        <w:pStyle w:val="ListParagraph"/>
        <w:ind w:left="1069"/>
        <w:rPr>
          <w:b/>
          <w:bCs/>
        </w:rPr>
      </w:pPr>
    </w:p>
    <w:p w:rsidR="00AC6DE5" w:rsidRDefault="00AC6DE5" w:rsidP="00AC6DE5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0" w:name="YANDEX_1067"/>
      <w:bookmarkEnd w:id="0"/>
      <w:r>
        <w:rPr>
          <w:rStyle w:val="highlighthighlightactive"/>
        </w:rPr>
        <w:t> </w:t>
      </w:r>
      <w:proofErr w:type="spellStart"/>
      <w:r>
        <w:t>Турунтаевского</w:t>
      </w:r>
      <w:proofErr w:type="spellEnd"/>
      <w:r>
        <w:t xml:space="preserve"> </w:t>
      </w:r>
      <w:bookmarkStart w:id="1" w:name="YANDEX_1068"/>
      <w:bookmarkEnd w:id="1"/>
      <w:r>
        <w:rPr>
          <w:rStyle w:val="highlighthighlightactive"/>
        </w:rPr>
        <w:t> сельского </w:t>
      </w:r>
      <w:r>
        <w:t xml:space="preserve"> </w:t>
      </w:r>
      <w:bookmarkStart w:id="2" w:name="YANDEX_1069"/>
      <w:bookmarkEnd w:id="2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3" w:name="YANDEX_1070"/>
      <w:bookmarkEnd w:id="3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4" w:name="YANDEX_1071"/>
      <w:bookmarkEnd w:id="4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AC6DE5" w:rsidRDefault="00AC6DE5" w:rsidP="00AC6DE5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AC6DE5" w:rsidRDefault="00AC6DE5" w:rsidP="00AC6DE5">
      <w:pPr>
        <w:ind w:firstLine="709"/>
        <w:jc w:val="both"/>
      </w:pPr>
      <w: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t>Турунтаевского</w:t>
      </w:r>
      <w:proofErr w:type="spellEnd"/>
      <w:r>
        <w:t xml:space="preserve"> сельского поселения» от 30.03.2017г № 19 Администрация поселения представила отчет об исполнении бюджета </w:t>
      </w:r>
      <w:r w:rsidR="00A326E3">
        <w:lastRenderedPageBreak/>
        <w:t>поселения за 2017</w:t>
      </w:r>
      <w:r>
        <w:t xml:space="preserve"> год</w:t>
      </w:r>
      <w:r w:rsidR="00A326E3">
        <w:t xml:space="preserve">  в Счетную палату до 01.04.2018</w:t>
      </w:r>
      <w:r>
        <w:t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AC6DE5" w:rsidRDefault="00AC6DE5" w:rsidP="00AC6DE5">
      <w:pPr>
        <w:pStyle w:val="a4"/>
        <w:spacing w:before="0" w:beforeAutospacing="0" w:after="0" w:afterAutospacing="0"/>
        <w:ind w:firstLine="720"/>
        <w:jc w:val="both"/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>
        <w:rPr>
          <w:b/>
        </w:rPr>
        <w:t>выявлены следующие недостатки</w:t>
      </w:r>
      <w:r>
        <w:t>.</w:t>
      </w:r>
    </w:p>
    <w:p w:rsidR="001F0338" w:rsidRDefault="00AC6DE5" w:rsidP="001F0338">
      <w:pPr>
        <w:ind w:right="-1" w:firstLine="720"/>
        <w:jc w:val="both"/>
      </w:pPr>
      <w:proofErr w:type="gramStart"/>
      <w:r w:rsidRPr="00580A41">
        <w:t xml:space="preserve">В нарушение </w:t>
      </w:r>
      <w:hyperlink r:id="rId12" w:history="1">
        <w:r w:rsidRPr="00580A41">
          <w:rPr>
            <w:rStyle w:val="a3"/>
            <w:color w:val="auto"/>
            <w:u w:val="none"/>
          </w:rPr>
          <w:t>пункта 152</w:t>
        </w:r>
      </w:hyperlink>
      <w:r w:rsidR="001F0338">
        <w:t xml:space="preserve"> Инструкции № 191н в форме 0503160  «Пояснительная записка»</w:t>
      </w:r>
      <w:r w:rsidRPr="00580A41">
        <w:t xml:space="preserve"> не заполнены: таблица № 2 «Сведения о мерах по повышению эффективности расходования бюджетных средств»; таблица № 3 «Сведения об исполнении текстовых статей закона (решения) о бюджете»; таблица № 5 «Сведения о результатах мероприятий внутреннего государственного (муниципального) финансового контроля»; таблица № 6 «Сведения о проведении инвентаризации»;</w:t>
      </w:r>
      <w:proofErr w:type="gramEnd"/>
      <w:r w:rsidRPr="00580A41">
        <w:t xml:space="preserve"> таблица № 7 «Сведения о результатах внешнего государственного (муницип</w:t>
      </w:r>
      <w:r w:rsidR="001F0338">
        <w:t>ального) финансового контроля».</w:t>
      </w:r>
    </w:p>
    <w:p w:rsidR="001F0338" w:rsidRDefault="00AC6DE5" w:rsidP="001F0338">
      <w:pPr>
        <w:ind w:right="-1" w:firstLine="720"/>
        <w:jc w:val="both"/>
        <w:rPr>
          <w:lang w:eastAsia="en-US"/>
        </w:rPr>
      </w:pPr>
      <w:r>
        <w:rPr>
          <w:lang w:eastAsia="en-US"/>
        </w:rPr>
        <w:t>В кодовой части форм н</w:t>
      </w:r>
      <w:r w:rsidR="001F0338">
        <w:rPr>
          <w:lang w:eastAsia="en-US"/>
        </w:rPr>
        <w:t xml:space="preserve">е проставлены коды по ОКПО, ИНН. </w:t>
      </w:r>
    </w:p>
    <w:p w:rsidR="001F0338" w:rsidRPr="00214A4D" w:rsidRDefault="001F0338" w:rsidP="001F0338">
      <w:pPr>
        <w:ind w:right="-1" w:firstLine="720"/>
        <w:jc w:val="both"/>
      </w:pPr>
      <w:r>
        <w:t xml:space="preserve">В нарушение пункта 163 Инструкции № 191н в ф. 0503164 «Сведения об исполнении бюджета» не заполнена графа 9 «Пояснения причин отклонения от планового процента». </w:t>
      </w:r>
      <w:proofErr w:type="gramStart"/>
      <w:r>
        <w:rPr>
          <w:rFonts w:eastAsiaTheme="minorHAnsi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eastAsiaTheme="minorHAnsi"/>
        </w:rPr>
        <w:t>недоведение</w:t>
      </w:r>
      <w:proofErr w:type="spellEnd"/>
      <w:r>
        <w:rPr>
          <w:rFonts w:eastAsiaTheme="minorHAnsi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eastAsiaTheme="minorHAnsi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eastAsiaTheme="minorHAnsi"/>
        </w:rPr>
        <w:t>дств дл</w:t>
      </w:r>
      <w:proofErr w:type="gramEnd"/>
      <w:r>
        <w:rPr>
          <w:rFonts w:eastAsiaTheme="minorHAnsi"/>
        </w:rPr>
        <w:t>я обеспечения выполнения возложенных функций; прочие причины (указать какие).</w:t>
      </w:r>
      <w:r>
        <w:t xml:space="preserve"> </w:t>
      </w:r>
      <w:r>
        <w:rPr>
          <w:rFonts w:eastAsiaTheme="minorHAnsi"/>
        </w:rPr>
        <w:t>Перечень причин отклонений от планового процента исполнения и их кодов для раскрытия информации в Сведениях должен быть  установлен финансовым органом.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нарушение </w:t>
      </w:r>
      <w:hyperlink r:id="rId13" w:history="1">
        <w:r>
          <w:rPr>
            <w:rStyle w:val="a3"/>
            <w:color w:val="auto"/>
            <w:u w:val="none"/>
          </w:rPr>
          <w:t>пункта 172</w:t>
        </w:r>
      </w:hyperlink>
      <w:r>
        <w:t xml:space="preserve"> Инструкции № 191н в таблице пояснительной записки </w:t>
      </w:r>
      <w:hyperlink r:id="rId14" w:history="1">
        <w:r>
          <w:rPr>
            <w:rStyle w:val="a3"/>
            <w:color w:val="auto"/>
            <w:u w:val="none"/>
          </w:rPr>
          <w:t>формы 0503177</w:t>
        </w:r>
      </w:hyperlink>
      <w: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Как следует из положений данного </w:t>
      </w:r>
      <w:hyperlink r:id="rId15" w:history="1">
        <w:r>
          <w:rPr>
            <w:rStyle w:val="a3"/>
            <w:color w:val="auto"/>
            <w:u w:val="none"/>
          </w:rPr>
          <w:t>пункта</w:t>
        </w:r>
      </w:hyperlink>
      <w: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проектированием прикладных систем и информационно-коммуникационной инфраструктуры;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разработкой (доработкой) программного обеспечения;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капитальными вложениями в объекты информационно-коммуникационной инфраструктуры;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оборудования и предустановленного программного обеспечения;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приобретением неисключительных прав на программное обеспечение;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услугами по аренде оборудования;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с подключением (обеспечением доступа) к внешним информационным ресурсам;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эксплуатационными расходами на информационно-коммуникационные технологии;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обучением сотрудников в области информационно-коммуникационных технологий;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- прочими расходами в области информационно-коммуникационных технологий.</w:t>
      </w:r>
    </w:p>
    <w:p w:rsidR="00AC6DE5" w:rsidRDefault="00AC6DE5" w:rsidP="00AC6DE5">
      <w:pPr>
        <w:widowControl w:val="0"/>
        <w:autoSpaceDE w:val="0"/>
        <w:autoSpaceDN w:val="0"/>
        <w:adjustRightInd w:val="0"/>
        <w:ind w:firstLine="540"/>
        <w:jc w:val="both"/>
      </w:pPr>
      <w: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AC6DE5" w:rsidRDefault="00AC6DE5" w:rsidP="00AC6DE5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Недостатки в отчетности и несоответствия с Инструкцией №191н,  не изменяют основные характеристики исполнения бюджета </w:t>
      </w:r>
      <w:proofErr w:type="spellStart"/>
      <w:r>
        <w:t>Турунтаевского</w:t>
      </w:r>
      <w:proofErr w:type="spellEnd"/>
      <w:r w:rsidR="001F0338">
        <w:rPr>
          <w:lang w:eastAsia="ar-SA"/>
        </w:rPr>
        <w:t xml:space="preserve"> сельского поселения за 2017</w:t>
      </w:r>
      <w:r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AC6DE5" w:rsidRDefault="00AC6DE5" w:rsidP="00AC6DE5"/>
    <w:p w:rsidR="00AC6DE5" w:rsidRDefault="00AC6DE5" w:rsidP="00AC6DE5">
      <w:pPr>
        <w:jc w:val="center"/>
        <w:rPr>
          <w:b/>
        </w:rPr>
      </w:pPr>
      <w:r>
        <w:rPr>
          <w:b/>
        </w:rPr>
        <w:lastRenderedPageBreak/>
        <w:t xml:space="preserve">4. Организация бюджетного процесса в </w:t>
      </w:r>
      <w:proofErr w:type="spellStart"/>
      <w:r>
        <w:rPr>
          <w:b/>
        </w:rPr>
        <w:t>Турунтаевском</w:t>
      </w:r>
      <w:proofErr w:type="spellEnd"/>
      <w:r>
        <w:rPr>
          <w:b/>
        </w:rPr>
        <w:t xml:space="preserve">  сельском поселении.</w:t>
      </w:r>
    </w:p>
    <w:p w:rsidR="00AC6DE5" w:rsidRDefault="00AC6DE5" w:rsidP="00AC6DE5">
      <w:pPr>
        <w:rPr>
          <w:b/>
        </w:rPr>
      </w:pPr>
    </w:p>
    <w:p w:rsidR="00AC6DE5" w:rsidRDefault="00AC6DE5" w:rsidP="00AC6DE5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23.04.2014г. № 45 утверждено положение «О бюджетном процессе в муниципальном образовании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="00D655F0">
        <w:t xml:space="preserve"> (с изменением от 29.06.2017 № 135)</w:t>
      </w:r>
      <w:r>
        <w:t xml:space="preserve">. </w:t>
      </w:r>
    </w:p>
    <w:p w:rsidR="00AC6DE5" w:rsidRDefault="00AC6DE5" w:rsidP="00AC6DE5">
      <w:pPr>
        <w:ind w:firstLine="709"/>
        <w:jc w:val="both"/>
      </w:pPr>
      <w:r>
        <w:t xml:space="preserve">Утверждение бюджета </w:t>
      </w:r>
      <w:proofErr w:type="spellStart"/>
      <w:r>
        <w:t>Турунтаевс</w:t>
      </w:r>
      <w:r w:rsidR="00580A41">
        <w:t>кого</w:t>
      </w:r>
      <w:proofErr w:type="spellEnd"/>
      <w:r w:rsidR="00580A41">
        <w:t xml:space="preserve"> сельского поселения на 2017</w:t>
      </w:r>
      <w:r>
        <w:t xml:space="preserve"> год обеспечено до начала финансового года решением Совета </w:t>
      </w:r>
      <w:proofErr w:type="spellStart"/>
      <w:r>
        <w:t>Турунтаевского</w:t>
      </w:r>
      <w:proofErr w:type="spellEnd"/>
      <w:r>
        <w:t xml:space="preserve"> с</w:t>
      </w:r>
      <w:r w:rsidR="00580A41">
        <w:t>ельского поселения от 30.12.2016г. № 119</w:t>
      </w:r>
      <w:r>
        <w:t xml:space="preserve"> «О  бюджете </w:t>
      </w:r>
      <w:proofErr w:type="spellStart"/>
      <w:r>
        <w:t>Турунтаевс</w:t>
      </w:r>
      <w:r w:rsidR="00580A41">
        <w:t>кого</w:t>
      </w:r>
      <w:proofErr w:type="spellEnd"/>
      <w:r w:rsidR="00580A41">
        <w:t xml:space="preserve"> сельского поселения на 2017</w:t>
      </w:r>
      <w: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t>показателей, содержащихся в решении о бюджете соответствуют</w:t>
      </w:r>
      <w:proofErr w:type="gramEnd"/>
      <w:r>
        <w:t xml:space="preserve"> статье 184.1 Бюджетного кодекса Российской Федерации. </w:t>
      </w:r>
    </w:p>
    <w:p w:rsidR="00AC6DE5" w:rsidRDefault="00AC6DE5" w:rsidP="00AC6DE5">
      <w:pPr>
        <w:ind w:firstLine="709"/>
        <w:jc w:val="both"/>
      </w:pPr>
      <w:r>
        <w:t xml:space="preserve"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</w:t>
      </w:r>
      <w:proofErr w:type="spellStart"/>
      <w:r>
        <w:t>Турунтаевского</w:t>
      </w:r>
      <w:proofErr w:type="spellEnd"/>
      <w:r>
        <w:t xml:space="preserve">  с</w:t>
      </w:r>
      <w:r w:rsidR="00580A41">
        <w:t>ельского поселения от 30.12.2016г. № 119</w:t>
      </w:r>
      <w:r>
        <w:t xml:space="preserve">. Сводная бюджетная роспись  утверждена Главой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 w:rsidR="00210164">
        <w:t xml:space="preserve"> 29.01.2017г</w:t>
      </w:r>
      <w:r>
        <w:t>.</w:t>
      </w:r>
    </w:p>
    <w:p w:rsidR="00AC6DE5" w:rsidRDefault="00AC6DE5" w:rsidP="00AC6DE5">
      <w:pPr>
        <w:ind w:firstLine="709"/>
        <w:jc w:val="both"/>
      </w:pPr>
      <w:r>
        <w:t>Постановлением Главы поселения от 24.07.2015 № 83 утвержден Порядок составления, утверждения и ведения бюджетной сметы муниципального бюджетного учреждения. 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3.1 порядка составления, утверждения и ведения смет муниципальных бюджетных учреждений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  <w:r w:rsidR="00580A41">
        <w:t>бюджетные сметы расходов на 2017</w:t>
      </w:r>
      <w:r>
        <w:t xml:space="preserve"> год утверждены Главой </w:t>
      </w:r>
      <w:proofErr w:type="spellStart"/>
      <w:r>
        <w:t>Турунтаевског</w:t>
      </w:r>
      <w:r w:rsidR="00210164">
        <w:t>о</w:t>
      </w:r>
      <w:proofErr w:type="spellEnd"/>
      <w:r w:rsidR="00210164">
        <w:t xml:space="preserve"> сельского поселения 2</w:t>
      </w:r>
      <w:r w:rsidR="00580A41">
        <w:t>9.01.2017</w:t>
      </w:r>
      <w:r>
        <w:t>г.</w:t>
      </w:r>
    </w:p>
    <w:p w:rsidR="00AC6DE5" w:rsidRDefault="00AC6DE5" w:rsidP="00AC6DE5">
      <w:pPr>
        <w:ind w:firstLine="709"/>
        <w:jc w:val="both"/>
      </w:pPr>
    </w:p>
    <w:p w:rsidR="00AC6DE5" w:rsidRDefault="00AC6DE5" w:rsidP="00AC6DE5">
      <w:pPr>
        <w:pStyle w:val="ListParagraph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Исполнение бюджета по доходам.</w:t>
      </w:r>
    </w:p>
    <w:p w:rsidR="00AC6DE5" w:rsidRDefault="00AC6DE5" w:rsidP="00AC6DE5">
      <w:pPr>
        <w:ind w:left="709"/>
        <w:rPr>
          <w:b/>
          <w:bCs/>
        </w:rPr>
      </w:pPr>
    </w:p>
    <w:p w:rsidR="00AC6DE5" w:rsidRDefault="00AC6DE5" w:rsidP="00AC6DE5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580A41">
        <w:rPr>
          <w:rFonts w:cs="Calibri"/>
          <w:lang w:eastAsia="ar-SA"/>
        </w:rPr>
        <w:t xml:space="preserve"> части бюджета поселения на 2017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AC6DE5" w:rsidRDefault="00AC6DE5" w:rsidP="00AC6DE5">
      <w:pPr>
        <w:ind w:firstLine="709"/>
        <w:jc w:val="both"/>
      </w:pPr>
      <w:r>
        <w:t xml:space="preserve">В соответствии с приложением 1 к бюджету </w:t>
      </w:r>
      <w:proofErr w:type="spellStart"/>
      <w:r>
        <w:t>Турунтаевског</w:t>
      </w:r>
      <w:r w:rsidR="00580A41">
        <w:t>о</w:t>
      </w:r>
      <w:proofErr w:type="spellEnd"/>
      <w:r w:rsidR="00580A41">
        <w:t xml:space="preserve"> сельского поселения на 2017</w:t>
      </w:r>
      <w:r>
        <w:t xml:space="preserve"> год, утвержденным решением Совета </w:t>
      </w:r>
      <w:proofErr w:type="spellStart"/>
      <w:r>
        <w:t>Турунтаевского</w:t>
      </w:r>
      <w:proofErr w:type="spellEnd"/>
      <w:r>
        <w:t xml:space="preserve"> с</w:t>
      </w:r>
      <w:r w:rsidR="00580A41">
        <w:t>ельского поселения от 30.12.2016 № 119</w:t>
      </w:r>
      <w:r>
        <w:t xml:space="preserve"> «О бюджете </w:t>
      </w:r>
      <w:proofErr w:type="spellStart"/>
      <w:r>
        <w:t>Турунтаевс</w:t>
      </w:r>
      <w:r w:rsidR="00580A41">
        <w:t>кого</w:t>
      </w:r>
      <w:proofErr w:type="spellEnd"/>
      <w:r w:rsidR="00580A41">
        <w:t xml:space="preserve"> сельского поселения на 2017</w:t>
      </w:r>
      <w:r>
        <w:t xml:space="preserve"> год», Администрация </w:t>
      </w:r>
      <w:proofErr w:type="spellStart"/>
      <w:r>
        <w:t>Турунтаевского</w:t>
      </w:r>
      <w:proofErr w:type="spellEnd"/>
      <w: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AC6DE5" w:rsidRDefault="00AC6DE5" w:rsidP="00AC6DE5">
      <w:pPr>
        <w:ind w:firstLine="709"/>
        <w:jc w:val="both"/>
      </w:pPr>
      <w:proofErr w:type="gramStart"/>
      <w:r>
        <w:t xml:space="preserve">Общий объем доходов бюджета </w:t>
      </w:r>
      <w:proofErr w:type="spellStart"/>
      <w:r>
        <w:t>Турунтаевского</w:t>
      </w:r>
      <w:proofErr w:type="spellEnd"/>
      <w:r>
        <w:t xml:space="preserve"> сельского поселени</w:t>
      </w:r>
      <w:r w:rsidR="00580A41">
        <w:t xml:space="preserve">я  был утвержден в сумме </w:t>
      </w:r>
      <w:r w:rsidR="00954757" w:rsidRPr="00954757">
        <w:rPr>
          <w:b/>
        </w:rPr>
        <w:t>13498,6</w:t>
      </w:r>
      <w:r w:rsidR="00580A41">
        <w:t xml:space="preserve"> тыс. руб.,  в течение  2017</w:t>
      </w:r>
      <w:r w:rsidR="00D57C87">
        <w:t xml:space="preserve"> года был увеличен на </w:t>
      </w:r>
      <w:r w:rsidR="00954757" w:rsidRPr="00954757">
        <w:rPr>
          <w:b/>
        </w:rPr>
        <w:t>1047,5</w:t>
      </w:r>
      <w:r>
        <w:rPr>
          <w:b/>
        </w:rPr>
        <w:t xml:space="preserve"> </w:t>
      </w:r>
      <w:r w:rsidR="00D57C87">
        <w:t xml:space="preserve">тыс. руб.  (на </w:t>
      </w:r>
      <w:r>
        <w:rPr>
          <w:b/>
        </w:rPr>
        <w:t xml:space="preserve"> </w:t>
      </w:r>
      <w:r w:rsidR="00954757">
        <w:rPr>
          <w:b/>
        </w:rPr>
        <w:t>7,8</w:t>
      </w:r>
      <w:r w:rsidR="00D57C87">
        <w:t xml:space="preserve">%) и составил  </w:t>
      </w:r>
      <w:r w:rsidR="00954757" w:rsidRPr="00954757">
        <w:rPr>
          <w:b/>
          <w:lang w:eastAsia="en-US"/>
        </w:rPr>
        <w:t>14546,1</w:t>
      </w:r>
      <w:r>
        <w:t xml:space="preserve"> 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>
        <w:t>Турунтаевского</w:t>
      </w:r>
      <w:proofErr w:type="spellEnd"/>
      <w:r>
        <w:t xml:space="preserve"> сельс</w:t>
      </w:r>
      <w:r w:rsidR="00D57C87">
        <w:t xml:space="preserve">кого поселения, составило  </w:t>
      </w:r>
      <w:r w:rsidR="00954757" w:rsidRPr="00954757">
        <w:rPr>
          <w:b/>
        </w:rPr>
        <w:t>102,7</w:t>
      </w:r>
      <w:r w:rsidRPr="00954757">
        <w:rPr>
          <w:b/>
        </w:rPr>
        <w:t>%</w:t>
      </w:r>
      <w:r w:rsidR="00954757">
        <w:t>,</w:t>
      </w:r>
      <w:r w:rsidR="00D57C87">
        <w:t xml:space="preserve"> что в сумме составляет </w:t>
      </w:r>
      <w:r>
        <w:t xml:space="preserve"> </w:t>
      </w:r>
      <w:r w:rsidR="00954757" w:rsidRPr="00954757">
        <w:rPr>
          <w:b/>
          <w:lang w:eastAsia="en-US"/>
        </w:rPr>
        <w:t>14934,9</w:t>
      </w:r>
      <w:r w:rsidR="00954757">
        <w:rPr>
          <w:b/>
          <w:lang w:eastAsia="en-US"/>
        </w:rPr>
        <w:t xml:space="preserve"> </w:t>
      </w:r>
      <w:r>
        <w:t>тыс. руб.</w:t>
      </w:r>
      <w:proofErr w:type="gramEnd"/>
    </w:p>
    <w:p w:rsidR="00AC6DE5" w:rsidRDefault="00AC6DE5" w:rsidP="00AC6DE5">
      <w:pPr>
        <w:ind w:firstLine="709"/>
        <w:jc w:val="both"/>
        <w:rPr>
          <w:bCs/>
        </w:rPr>
      </w:pPr>
      <w:r>
        <w:rPr>
          <w:bCs/>
        </w:rPr>
        <w:t xml:space="preserve">Исполнение доходов бюджета </w:t>
      </w:r>
      <w:proofErr w:type="spellStart"/>
      <w:r>
        <w:t>Турунтаевского</w:t>
      </w:r>
      <w:proofErr w:type="spellEnd"/>
      <w:r>
        <w:rPr>
          <w:bCs/>
        </w:rPr>
        <w:t xml:space="preserve"> сельского поселения</w:t>
      </w:r>
      <w:r>
        <w:t xml:space="preserve"> </w:t>
      </w:r>
      <w:r w:rsidR="00D57C87">
        <w:rPr>
          <w:bCs/>
        </w:rPr>
        <w:t>за 2017</w:t>
      </w:r>
      <w:r w:rsidR="00D655F0">
        <w:rPr>
          <w:bCs/>
        </w:rPr>
        <w:t xml:space="preserve"> год    представлено в таблице </w:t>
      </w:r>
      <w:r w:rsidR="00D57C87">
        <w:rPr>
          <w:bCs/>
        </w:rPr>
        <w:t>2</w:t>
      </w:r>
      <w:r>
        <w:rPr>
          <w:bCs/>
        </w:rPr>
        <w:t>.</w:t>
      </w:r>
    </w:p>
    <w:p w:rsidR="00D655F0" w:rsidRDefault="00D655F0" w:rsidP="00AC6DE5">
      <w:pPr>
        <w:ind w:firstLine="709"/>
        <w:jc w:val="both"/>
        <w:rPr>
          <w:bCs/>
        </w:rPr>
      </w:pPr>
    </w:p>
    <w:p w:rsidR="00AC6DE5" w:rsidRDefault="00D57C87" w:rsidP="00AC6DE5">
      <w:r>
        <w:t>Таблица 2</w:t>
      </w:r>
      <w:r w:rsidR="00AC6DE5">
        <w:t xml:space="preserve">                                                                                                                                тыс. руб.</w:t>
      </w:r>
    </w:p>
    <w:p w:rsidR="00AC6DE5" w:rsidRDefault="00AC6DE5" w:rsidP="00AC6DE5"/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6"/>
        <w:gridCol w:w="3543"/>
        <w:gridCol w:w="1700"/>
        <w:gridCol w:w="1421"/>
        <w:gridCol w:w="850"/>
      </w:tblGrid>
      <w:tr w:rsidR="00AC6DE5" w:rsidTr="00AC6DE5">
        <w:trPr>
          <w:cantSplit/>
          <w:trHeight w:val="3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2480,1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0D4117" w:rsidP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29</w:t>
            </w:r>
            <w:r w:rsidR="00954757" w:rsidRPr="00954757"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117,3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2335,1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57" w:rsidRPr="00954757" w:rsidRDefault="00954757" w:rsidP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2681,2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114,8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564,9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720,7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127,6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1147,0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1011,8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88,2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E5" w:rsidRPr="00954757" w:rsidRDefault="00D57C87">
            <w:pPr>
              <w:jc w:val="center"/>
            </w:pPr>
            <w:r w:rsidRPr="00954757"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E5" w:rsidRPr="00954757" w:rsidRDefault="00D57C87" w:rsidP="00954757">
            <w:pPr>
              <w:jc w:val="center"/>
            </w:pPr>
            <w:r w:rsidRPr="00954757"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х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623,2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57" w:rsidRPr="00954757" w:rsidRDefault="0095475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944,7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151,6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72,2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17" w:rsidRPr="00954757" w:rsidRDefault="000D411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180,7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551,0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57" w:rsidRPr="00954757" w:rsidRDefault="0095475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815,1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147,7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145,0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157,8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145,0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228,8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157,8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1140</w:t>
            </w: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val="en-US" w:eastAsia="en-US"/>
              </w:rPr>
              <w:t>00000410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8279FB" w:rsidP="008279FB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117,0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205,8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175,9</w:t>
            </w:r>
          </w:p>
        </w:tc>
      </w:tr>
      <w:tr w:rsidR="00AC6DE5" w:rsidTr="00D57C87">
        <w:trPr>
          <w:cantSplit/>
          <w:trHeight w:val="2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11705050100000180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 доходы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28,0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lang w:eastAsia="en-US"/>
              </w:rPr>
            </w:pPr>
            <w:r w:rsidRPr="00954757">
              <w:rPr>
                <w:lang w:eastAsia="en-US"/>
              </w:rPr>
              <w:t>82,1</w:t>
            </w:r>
          </w:p>
        </w:tc>
      </w:tr>
      <w:tr w:rsidR="00AC6DE5" w:rsidTr="00D57C87">
        <w:trPr>
          <w:cantSplit/>
          <w:trHeight w:val="2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12066,0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 w:rsidP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12024,9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99,7</w:t>
            </w:r>
          </w:p>
        </w:tc>
      </w:tr>
      <w:tr w:rsidR="00AC6DE5" w:rsidTr="00D57C87">
        <w:trPr>
          <w:cantSplit/>
          <w:trHeight w:val="3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E5" w:rsidRDefault="00AC6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D57C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14546,1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14934,9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954757" w:rsidRDefault="009547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4757">
              <w:rPr>
                <w:b/>
                <w:lang w:eastAsia="en-US"/>
              </w:rPr>
              <w:t>102,7</w:t>
            </w:r>
          </w:p>
        </w:tc>
      </w:tr>
    </w:tbl>
    <w:p w:rsidR="00AC6DE5" w:rsidRDefault="00AC6DE5" w:rsidP="00AC6DE5">
      <w:pPr>
        <w:rPr>
          <w:sz w:val="20"/>
          <w:szCs w:val="20"/>
        </w:rPr>
      </w:pPr>
    </w:p>
    <w:p w:rsidR="008F108A" w:rsidRDefault="008F108A" w:rsidP="008F108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 источн</w:t>
      </w:r>
      <w:r>
        <w:rPr>
          <w:rFonts w:ascii="Times New Roman CYR" w:hAnsi="Times New Roman CYR" w:cs="Times New Roman CYR"/>
        </w:rPr>
        <w:t>иком формирования доходов явились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кцизы по подакцизным товарам, производимым на территории Российской Федерации</w:t>
      </w:r>
      <w:r>
        <w:rPr>
          <w:rFonts w:ascii="Times New Roman CYR" w:hAnsi="Times New Roman CYR" w:cs="Times New Roman CYR"/>
        </w:rPr>
        <w:t xml:space="preserve">, в сумме 1011,8 тыс. рублей, что составило 88,2% к плановым назначениям. Доля акцизов </w:t>
      </w:r>
      <w:r>
        <w:rPr>
          <w:rFonts w:ascii="Times New Roman CYR" w:hAnsi="Times New Roman CYR" w:cs="Times New Roman CYR"/>
        </w:rPr>
        <w:t xml:space="preserve"> в объеме налоговых и неналоговых доходов составила </w:t>
      </w:r>
      <w:r>
        <w:rPr>
          <w:rFonts w:ascii="Times New Roman CYR" w:hAnsi="Times New Roman CYR" w:cs="Times New Roman CYR"/>
        </w:rPr>
        <w:t xml:space="preserve">34,8%. </w:t>
      </w:r>
      <w:r>
        <w:rPr>
          <w:rFonts w:ascii="Times New Roman CYR" w:hAnsi="Times New Roman CYR" w:cs="Times New Roman CYR"/>
        </w:rPr>
        <w:t xml:space="preserve">Далее идет земельный налог  в сумме  </w:t>
      </w:r>
      <w:r w:rsidRPr="00954757">
        <w:rPr>
          <w:lang w:eastAsia="en-US"/>
        </w:rPr>
        <w:t>815,1</w:t>
      </w:r>
      <w:r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руб., что соста</w:t>
      </w:r>
      <w:r>
        <w:rPr>
          <w:rFonts w:ascii="Times New Roman CYR" w:hAnsi="Times New Roman CYR" w:cs="Times New Roman CYR"/>
        </w:rPr>
        <w:t>вило 147,7</w:t>
      </w:r>
      <w:r>
        <w:rPr>
          <w:rFonts w:ascii="Times New Roman CYR" w:hAnsi="Times New Roman CYR" w:cs="Times New Roman CYR"/>
        </w:rPr>
        <w:t>% к плану. Доля  земельного налога  в объеме налоговых и не</w:t>
      </w:r>
      <w:r>
        <w:rPr>
          <w:rFonts w:ascii="Times New Roman CYR" w:hAnsi="Times New Roman CYR" w:cs="Times New Roman CYR"/>
        </w:rPr>
        <w:t>налоговых доходов составила 28,0</w:t>
      </w:r>
      <w:r>
        <w:rPr>
          <w:rFonts w:ascii="Times New Roman CYR" w:hAnsi="Times New Roman CYR" w:cs="Times New Roman CYR"/>
        </w:rPr>
        <w:t>%.</w:t>
      </w:r>
      <w:r w:rsidRPr="008F10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алог  на доходы физических лиц в сумме  </w:t>
      </w:r>
      <w:r>
        <w:rPr>
          <w:rFonts w:ascii="Times New Roman CYR" w:hAnsi="Times New Roman CYR" w:cs="Times New Roman CYR"/>
        </w:rPr>
        <w:t>720,7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тыс. рублей, что  составляет 127,6</w:t>
      </w:r>
      <w:r>
        <w:rPr>
          <w:rFonts w:ascii="Times New Roman CYR" w:hAnsi="Times New Roman CYR" w:cs="Times New Roman CYR"/>
        </w:rPr>
        <w:t>% к плану. Доля  налога на доходы физических лиц в объеме налоговых и не</w:t>
      </w:r>
      <w:r>
        <w:rPr>
          <w:rFonts w:ascii="Times New Roman CYR" w:hAnsi="Times New Roman CYR" w:cs="Times New Roman CYR"/>
        </w:rPr>
        <w:t xml:space="preserve">налоговых доходов составила </w:t>
      </w:r>
      <w:r w:rsidR="008279FB">
        <w:rPr>
          <w:rFonts w:ascii="Times New Roman CYR" w:hAnsi="Times New Roman CYR" w:cs="Times New Roman CYR"/>
        </w:rPr>
        <w:t>24,8</w:t>
      </w:r>
      <w:r>
        <w:rPr>
          <w:rFonts w:ascii="Times New Roman CYR" w:hAnsi="Times New Roman CYR" w:cs="Times New Roman CYR"/>
        </w:rPr>
        <w:t xml:space="preserve">%.. </w:t>
      </w:r>
      <w:r>
        <w:rPr>
          <w:lang w:eastAsia="en-US"/>
        </w:rPr>
        <w:t xml:space="preserve">Доходы от использования имущества, находящегося в государственной и муниципальной собственности, в сумме  </w:t>
      </w:r>
      <w:r w:rsidR="008279FB">
        <w:rPr>
          <w:lang w:eastAsia="en-US"/>
        </w:rPr>
        <w:t xml:space="preserve">228,8 </w:t>
      </w:r>
      <w:r>
        <w:rPr>
          <w:lang w:eastAsia="en-US"/>
        </w:rPr>
        <w:t>тыс. руб. в объеме налоговых и нен</w:t>
      </w:r>
      <w:r w:rsidR="008279FB">
        <w:rPr>
          <w:lang w:eastAsia="en-US"/>
        </w:rPr>
        <w:t>алоговых доходов составляют  7,9</w:t>
      </w:r>
      <w:r>
        <w:rPr>
          <w:lang w:eastAsia="en-US"/>
        </w:rPr>
        <w:t>%.</w:t>
      </w:r>
    </w:p>
    <w:p w:rsidR="00AC6DE5" w:rsidRDefault="00AC6DE5" w:rsidP="00AC6DE5">
      <w:pPr>
        <w:ind w:firstLine="709"/>
        <w:jc w:val="both"/>
      </w:pPr>
      <w:r>
        <w:t xml:space="preserve">В структуре доходов бюджета </w:t>
      </w:r>
      <w:proofErr w:type="spellStart"/>
      <w:r>
        <w:t>Турунтаевского</w:t>
      </w:r>
      <w:proofErr w:type="spellEnd"/>
      <w:r>
        <w:t xml:space="preserve"> сельского поселения доля налоговых и неналоговых доходов со</w:t>
      </w:r>
      <w:r w:rsidR="00954757">
        <w:t>ставила   19,5</w:t>
      </w:r>
      <w:r>
        <w:t xml:space="preserve">%, что в сумме составляет </w:t>
      </w:r>
      <w:r w:rsidR="00954757">
        <w:t xml:space="preserve">2910,0 </w:t>
      </w:r>
      <w:r>
        <w:t>тыс. руб.</w:t>
      </w:r>
    </w:p>
    <w:p w:rsidR="00AC6DE5" w:rsidRDefault="00AC6DE5" w:rsidP="00AC6DE5">
      <w:pPr>
        <w:ind w:firstLine="709"/>
        <w:jc w:val="both"/>
      </w:pPr>
      <w:r>
        <w:t>По налоговым доходам планов</w:t>
      </w:r>
      <w:r w:rsidR="006E753C">
        <w:t>ые назначения выполнены на 114,8</w:t>
      </w:r>
      <w:r>
        <w:t>%.  Доля налоговых доходов в общ</w:t>
      </w:r>
      <w:r w:rsidR="00954757">
        <w:t xml:space="preserve">ем объеме доходов составила </w:t>
      </w:r>
      <w:r w:rsidR="006E753C">
        <w:t>18,0</w:t>
      </w:r>
      <w:r>
        <w:t xml:space="preserve"> % или  </w:t>
      </w:r>
      <w:r w:rsidR="00954757">
        <w:rPr>
          <w:lang w:eastAsia="en-US"/>
        </w:rPr>
        <w:t>2681,2</w:t>
      </w:r>
      <w:r>
        <w:t xml:space="preserve"> тыс. руб. По неналоговым доходам плановые назначения выполнен</w:t>
      </w:r>
      <w:r w:rsidR="00954757">
        <w:t>ы на  157,8 %, что в сумме составляет 228,8 тыс. рублей.</w:t>
      </w:r>
      <w:r>
        <w:t xml:space="preserve">  Доля неналоговых доходов в об</w:t>
      </w:r>
      <w:r w:rsidR="00954757">
        <w:t>щем объеме доходов составила 1,5</w:t>
      </w:r>
      <w:r w:rsidR="006E753C">
        <w:t xml:space="preserve"> %.</w:t>
      </w:r>
    </w:p>
    <w:p w:rsidR="00AC6DE5" w:rsidRDefault="00AC6DE5" w:rsidP="00D655F0">
      <w:pPr>
        <w:ind w:firstLine="709"/>
        <w:jc w:val="both"/>
      </w:pPr>
      <w:r>
        <w:t>Безвозмездн</w:t>
      </w:r>
      <w:r w:rsidR="006E753C">
        <w:t>ые поступления выполнены на 99,7% и составляют 80,5</w:t>
      </w:r>
      <w:r>
        <w:t xml:space="preserve"> % в общем объеме доходов</w:t>
      </w:r>
      <w:r w:rsidR="006E753C">
        <w:t>, что в сумме составляет 12024,9</w:t>
      </w:r>
      <w:r w:rsidR="00D655F0">
        <w:t xml:space="preserve"> тыс. рублей.</w:t>
      </w:r>
    </w:p>
    <w:p w:rsidR="00A326E3" w:rsidRDefault="00A326E3" w:rsidP="00AC6DE5"/>
    <w:p w:rsidR="00AC6DE5" w:rsidRDefault="00AC6DE5" w:rsidP="00AC6DE5">
      <w:pPr>
        <w:jc w:val="center"/>
        <w:rPr>
          <w:b/>
        </w:rPr>
      </w:pPr>
      <w:r>
        <w:rPr>
          <w:b/>
        </w:rPr>
        <w:t>6.  Исполнение бюджета по расходам.</w:t>
      </w:r>
    </w:p>
    <w:p w:rsidR="00AC6DE5" w:rsidRDefault="00AC6DE5" w:rsidP="00AC6DE5">
      <w:pPr>
        <w:rPr>
          <w:b/>
        </w:rPr>
      </w:pPr>
    </w:p>
    <w:p w:rsidR="00AC6DE5" w:rsidRDefault="00AC6DE5" w:rsidP="00AC6DE5">
      <w:pPr>
        <w:ind w:firstLine="709"/>
        <w:jc w:val="both"/>
      </w:pPr>
      <w:r>
        <w:t xml:space="preserve"> </w:t>
      </w:r>
      <w:proofErr w:type="gramStart"/>
      <w:r>
        <w:t xml:space="preserve">Общий объем расходов бюджета </w:t>
      </w:r>
      <w:proofErr w:type="spellStart"/>
      <w:r>
        <w:t>Турунтаевского</w:t>
      </w:r>
      <w:proofErr w:type="spellEnd"/>
      <w:r>
        <w:t xml:space="preserve"> сельского поселения  был утвержден в сумме </w:t>
      </w:r>
      <w:r w:rsidR="00A326E3" w:rsidRPr="00D655F0">
        <w:rPr>
          <w:b/>
        </w:rPr>
        <w:t>13498,6</w:t>
      </w:r>
      <w:r>
        <w:t xml:space="preserve"> </w:t>
      </w:r>
      <w:r w:rsidR="00A326E3">
        <w:t>тыс. руб.,  в течение  2017</w:t>
      </w:r>
      <w:r w:rsidR="00D655F0">
        <w:t xml:space="preserve"> года был увеличен на  </w:t>
      </w:r>
      <w:r w:rsidR="00D655F0" w:rsidRPr="00D655F0">
        <w:rPr>
          <w:b/>
        </w:rPr>
        <w:t>1358,8</w:t>
      </w:r>
      <w:r w:rsidR="00D655F0">
        <w:t xml:space="preserve"> тыс. руб., </w:t>
      </w:r>
      <w:r w:rsidR="00D655F0">
        <w:lastRenderedPageBreak/>
        <w:t xml:space="preserve">или на  </w:t>
      </w:r>
      <w:r w:rsidR="00D655F0" w:rsidRPr="00D655F0">
        <w:rPr>
          <w:b/>
        </w:rPr>
        <w:t>10,1</w:t>
      </w:r>
      <w:r w:rsidRPr="00D655F0">
        <w:rPr>
          <w:b/>
        </w:rPr>
        <w:t>%</w:t>
      </w:r>
      <w:r>
        <w:t xml:space="preserve"> и составил  </w:t>
      </w:r>
      <w:r w:rsidR="00D655F0" w:rsidRPr="00D655F0">
        <w:rPr>
          <w:b/>
          <w:lang w:eastAsia="en-US"/>
        </w:rPr>
        <w:t>14857,4</w:t>
      </w:r>
      <w:r>
        <w:rPr>
          <w:lang w:eastAsia="en-US"/>
        </w:rPr>
        <w:t xml:space="preserve"> </w:t>
      </w:r>
      <w:r>
        <w:t xml:space="preserve">тыс. руб.. Фактическое исполнение расходной части бюджета от плановых показателей, утвержденных последней редакцией бюджета </w:t>
      </w:r>
      <w:proofErr w:type="spellStart"/>
      <w:r>
        <w:t>Турунтаевского</w:t>
      </w:r>
      <w:proofErr w:type="spellEnd"/>
      <w:r>
        <w:t xml:space="preserve"> сел</w:t>
      </w:r>
      <w:r w:rsidR="00D655F0">
        <w:t xml:space="preserve">ьского поселения, составило </w:t>
      </w:r>
      <w:r w:rsidR="00D655F0" w:rsidRPr="00D655F0">
        <w:rPr>
          <w:b/>
        </w:rPr>
        <w:t>99,3</w:t>
      </w:r>
      <w:r w:rsidR="00D655F0">
        <w:rPr>
          <w:b/>
        </w:rPr>
        <w:t>%</w:t>
      </w:r>
      <w:r w:rsidR="00D655F0" w:rsidRPr="00D655F0">
        <w:t>,</w:t>
      </w:r>
      <w:r w:rsidR="00D655F0">
        <w:rPr>
          <w:b/>
        </w:rPr>
        <w:t xml:space="preserve"> </w:t>
      </w:r>
      <w:r>
        <w:t xml:space="preserve">что в сумме составляет  </w:t>
      </w:r>
      <w:r w:rsidR="00D655F0" w:rsidRPr="00D655F0">
        <w:rPr>
          <w:b/>
        </w:rPr>
        <w:t>14752,6</w:t>
      </w:r>
      <w:r>
        <w:rPr>
          <w:b/>
        </w:rPr>
        <w:t xml:space="preserve"> </w:t>
      </w:r>
      <w:r>
        <w:t>тыс. рублей.</w:t>
      </w:r>
      <w:proofErr w:type="gramEnd"/>
    </w:p>
    <w:p w:rsidR="00AC6DE5" w:rsidRDefault="00AC6DE5" w:rsidP="00AC6DE5">
      <w:pPr>
        <w:ind w:firstLine="709"/>
        <w:jc w:val="both"/>
        <w:rPr>
          <w:bCs/>
        </w:rPr>
      </w:pPr>
      <w:r>
        <w:rPr>
          <w:bCs/>
        </w:rPr>
        <w:t xml:space="preserve">Исполнение расходов бюджета </w:t>
      </w:r>
      <w:proofErr w:type="spellStart"/>
      <w:r>
        <w:t>Турунтаевского</w:t>
      </w:r>
      <w:proofErr w:type="spellEnd"/>
      <w:r>
        <w:rPr>
          <w:bCs/>
        </w:rPr>
        <w:t xml:space="preserve"> сельского поселения</w:t>
      </w:r>
      <w:r>
        <w:t xml:space="preserve"> </w:t>
      </w:r>
      <w:r w:rsidR="00D655F0">
        <w:rPr>
          <w:bCs/>
        </w:rPr>
        <w:t>за 2017</w:t>
      </w:r>
      <w:r>
        <w:rPr>
          <w:bCs/>
        </w:rPr>
        <w:t xml:space="preserve"> год по функциональной классифи</w:t>
      </w:r>
      <w:r w:rsidR="00563169">
        <w:rPr>
          <w:bCs/>
        </w:rPr>
        <w:t>кации   представлено в таблице 3</w:t>
      </w:r>
      <w:r>
        <w:rPr>
          <w:bCs/>
        </w:rPr>
        <w:t xml:space="preserve">. </w:t>
      </w:r>
    </w:p>
    <w:p w:rsidR="00D655F0" w:rsidRDefault="00D655F0" w:rsidP="00AC6DE5">
      <w:pPr>
        <w:ind w:firstLine="709"/>
        <w:jc w:val="both"/>
        <w:rPr>
          <w:bCs/>
        </w:rPr>
      </w:pPr>
    </w:p>
    <w:p w:rsidR="00AC6DE5" w:rsidRDefault="00AC6DE5" w:rsidP="00AC6DE5">
      <w:r>
        <w:rPr>
          <w:bCs/>
        </w:rPr>
        <w:t xml:space="preserve">      </w:t>
      </w:r>
      <w:r w:rsidR="00563169">
        <w:t>Таблица 3</w:t>
      </w:r>
      <w:r>
        <w:t xml:space="preserve">                                                                                                                  тыс. руб.</w:t>
      </w:r>
      <w:r>
        <w:rPr>
          <w:bCs/>
        </w:rPr>
        <w:t xml:space="preserve">                                            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1026"/>
        <w:gridCol w:w="850"/>
        <w:gridCol w:w="1134"/>
        <w:gridCol w:w="851"/>
        <w:gridCol w:w="1134"/>
        <w:gridCol w:w="850"/>
        <w:gridCol w:w="851"/>
      </w:tblGrid>
      <w:tr w:rsidR="00DF01CA" w:rsidTr="00C71A15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 на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 год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(решение Совета поселения № 119</w:t>
            </w:r>
            <w:proofErr w:type="gramEnd"/>
          </w:p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30.12.2016г.)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2017 год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(решение Совета поселения  № 16</w:t>
            </w:r>
            <w:proofErr w:type="gramEnd"/>
          </w:p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27.12.2017г.)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нения</w:t>
            </w:r>
          </w:p>
        </w:tc>
      </w:tr>
      <w:tr w:rsidR="00DF01CA" w:rsidTr="00C71A15">
        <w:trPr>
          <w:trHeight w:val="58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CA" w:rsidRDefault="00DF01C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доля</w:t>
            </w:r>
          </w:p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%</w:t>
            </w:r>
          </w:p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A" w:rsidRDefault="00DF01C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</w:p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Default="00DF01C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E7C96">
              <w:rPr>
                <w:sz w:val="22"/>
                <w:szCs w:val="22"/>
                <w:lang w:eastAsia="en-US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безопас</w:t>
            </w:r>
            <w:r w:rsidR="00DF01C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 правоохранитель</w:t>
            </w:r>
            <w:r w:rsidR="00DF01CA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4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EE7C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99,6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</w:t>
            </w:r>
            <w:proofErr w:type="gramStart"/>
            <w:r>
              <w:rPr>
                <w:sz w:val="22"/>
                <w:szCs w:val="22"/>
                <w:lang w:eastAsia="en-US"/>
              </w:rPr>
              <w:t>кинема-</w:t>
            </w:r>
            <w:proofErr w:type="spellStart"/>
            <w:r>
              <w:rPr>
                <w:sz w:val="22"/>
                <w:szCs w:val="22"/>
                <w:lang w:eastAsia="en-US"/>
              </w:rPr>
              <w:t>тография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5644,</w:t>
            </w:r>
            <w:r w:rsidR="002D69A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AC6DE5" w:rsidTr="00A326E3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</w:t>
            </w:r>
            <w:r w:rsidR="00DF01CA">
              <w:rPr>
                <w:sz w:val="22"/>
                <w:szCs w:val="22"/>
                <w:lang w:eastAsia="en-US"/>
              </w:rPr>
              <w:t xml:space="preserve">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Межбюджетные транс</w:t>
            </w:r>
            <w:r w:rsidR="00DF01C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ферты  общего характера  бюджетам субъектов РФ и муниципальных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обра</w:t>
            </w:r>
            <w:r w:rsidR="00DF01C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зований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E5" w:rsidRDefault="00AC6D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32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2D69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CB11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AC6DE5" w:rsidTr="00A326E3">
        <w:trPr>
          <w:trHeight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E5" w:rsidRDefault="00AC6DE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AC6DE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A326E3" w:rsidRDefault="00A326E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DF01CA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14857,4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DF01CA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14752,6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Pr="00DF01CA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E5" w:rsidRDefault="00DF01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99,3</w:t>
            </w:r>
          </w:p>
        </w:tc>
      </w:tr>
    </w:tbl>
    <w:p w:rsidR="00AC6DE5" w:rsidRDefault="00AC6DE5" w:rsidP="00AC6DE5"/>
    <w:p w:rsidR="00AC6DE5" w:rsidRDefault="00AC6DE5" w:rsidP="00AC6DE5">
      <w:pPr>
        <w:ind w:firstLine="709"/>
        <w:jc w:val="both"/>
      </w:pPr>
      <w:proofErr w:type="gramStart"/>
      <w:r>
        <w:t>В функциональной классификации расходов изменены 8 показателей из 9.</w:t>
      </w:r>
      <w:proofErr w:type="gramEnd"/>
      <w:r>
        <w:t xml:space="preserve"> Приоритетными направлениями расходования средств бюджета </w:t>
      </w:r>
      <w:proofErr w:type="spellStart"/>
      <w:r>
        <w:t>Турунтаевского</w:t>
      </w:r>
      <w:proofErr w:type="spellEnd"/>
      <w:r>
        <w:t xml:space="preserve"> сельского по</w:t>
      </w:r>
      <w:r w:rsidR="00F673F7">
        <w:t>селения в 2017</w:t>
      </w:r>
      <w:r>
        <w:t xml:space="preserve"> году являлись расходы на: </w:t>
      </w:r>
      <w:r w:rsidR="00F673F7">
        <w:t>общегосударственные вопросы 31,3%; культуру 38,0%; национальную экономику  13,5</w:t>
      </w:r>
      <w:r>
        <w:t>%.</w:t>
      </w:r>
    </w:p>
    <w:p w:rsidR="00F56960" w:rsidRDefault="00F56960" w:rsidP="00563169">
      <w:pPr>
        <w:tabs>
          <w:tab w:val="left" w:pos="720"/>
        </w:tabs>
        <w:ind w:firstLine="720"/>
        <w:jc w:val="both"/>
      </w:pPr>
      <w:r>
        <w:t>Кассовые расходы бюджета поселен</w:t>
      </w:r>
      <w:r>
        <w:t>ия за 2017 год составили 14752,6 тыс. рублей – 99,3</w:t>
      </w:r>
      <w:r>
        <w:t xml:space="preserve">% к плановым назначениям, </w:t>
      </w:r>
      <w:proofErr w:type="spellStart"/>
      <w:r>
        <w:t>недоисп</w:t>
      </w:r>
      <w:r>
        <w:t>олнение</w:t>
      </w:r>
      <w:proofErr w:type="spellEnd"/>
      <w:r>
        <w:t xml:space="preserve"> сложилось в сумме 104,8</w:t>
      </w:r>
      <w:r>
        <w:t xml:space="preserve">  тыс. </w:t>
      </w:r>
      <w:r>
        <w:t>рублей (0,7</w:t>
      </w:r>
      <w:r>
        <w:t>%).</w:t>
      </w:r>
    </w:p>
    <w:p w:rsidR="00AC6DE5" w:rsidRDefault="00AC6DE5" w:rsidP="00AC6DE5">
      <w:pPr>
        <w:rPr>
          <w:b/>
          <w:bCs/>
        </w:rPr>
      </w:pPr>
    </w:p>
    <w:p w:rsidR="00D655F0" w:rsidRDefault="00D655F0" w:rsidP="00AC6DE5">
      <w:pPr>
        <w:rPr>
          <w:b/>
          <w:bCs/>
        </w:rPr>
      </w:pPr>
    </w:p>
    <w:p w:rsidR="00D655F0" w:rsidRDefault="00D655F0" w:rsidP="00AC6DE5">
      <w:pPr>
        <w:rPr>
          <w:b/>
          <w:bCs/>
        </w:rPr>
      </w:pPr>
    </w:p>
    <w:p w:rsidR="00AC6DE5" w:rsidRDefault="00AC6DE5" w:rsidP="00AC6DE5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  Использование средств резервного фонда.</w:t>
      </w:r>
    </w:p>
    <w:p w:rsidR="00563169" w:rsidRDefault="00563169" w:rsidP="00563169">
      <w:pPr>
        <w:pStyle w:val="ListParagraph"/>
        <w:ind w:left="709"/>
        <w:rPr>
          <w:b/>
          <w:bCs/>
        </w:rPr>
      </w:pPr>
    </w:p>
    <w:p w:rsidR="00AC6DE5" w:rsidRPr="00563169" w:rsidRDefault="00563169" w:rsidP="00563169">
      <w:pPr>
        <w:ind w:firstLine="709"/>
        <w:jc w:val="both"/>
      </w:pPr>
      <w:r>
        <w:t xml:space="preserve">Постановлениями Главы поселения от 24.07.2015 № 84 утверждено положение «О порядке расходования средств резервного фонда» и от 15.08.2012 № 94 утверждено положение «О порядке расходования резервного фонда Администрации </w:t>
      </w:r>
      <w:proofErr w:type="spellStart"/>
      <w:r>
        <w:t>Турунтаевского</w:t>
      </w:r>
      <w:proofErr w:type="spellEnd"/>
      <w:r>
        <w:t xml:space="preserve"> </w:t>
      </w:r>
      <w:r>
        <w:lastRenderedPageBreak/>
        <w:t>сельского поселения по предупреждению и ликвидации чрезвычайных ситуаций и последствий стихийных бедствий».</w:t>
      </w:r>
    </w:p>
    <w:p w:rsidR="00AC6DE5" w:rsidRDefault="00AC6DE5" w:rsidP="00AC6DE5">
      <w:pPr>
        <w:ind w:firstLine="709"/>
        <w:jc w:val="both"/>
        <w:rPr>
          <w:bCs/>
        </w:rPr>
      </w:pPr>
      <w:r>
        <w:rPr>
          <w:bCs/>
        </w:rPr>
        <w:t xml:space="preserve">Расходы резервного фонда </w:t>
      </w:r>
      <w:proofErr w:type="spellStart"/>
      <w:r>
        <w:t>Турунтаевского</w:t>
      </w:r>
      <w:proofErr w:type="spellEnd"/>
      <w:r w:rsidR="00563169">
        <w:rPr>
          <w:bCs/>
        </w:rPr>
        <w:t xml:space="preserve"> сельского поселения в 2017</w:t>
      </w:r>
      <w:r>
        <w:rPr>
          <w:bCs/>
        </w:rPr>
        <w:t xml:space="preserve"> году  представлены в т</w:t>
      </w:r>
      <w:r w:rsidR="00563169">
        <w:rPr>
          <w:bCs/>
        </w:rPr>
        <w:t>аблице 4</w:t>
      </w:r>
      <w:r>
        <w:rPr>
          <w:bCs/>
        </w:rPr>
        <w:t xml:space="preserve">. </w:t>
      </w:r>
    </w:p>
    <w:p w:rsidR="00AC6DE5" w:rsidRDefault="00AC6DE5" w:rsidP="00AC6DE5">
      <w:pPr>
        <w:rPr>
          <w:b/>
          <w:bCs/>
        </w:rPr>
      </w:pPr>
      <w:r>
        <w:rPr>
          <w:b/>
          <w:bCs/>
        </w:rPr>
        <w:t xml:space="preserve">                </w:t>
      </w:r>
      <w:r w:rsidR="00563169">
        <w:rPr>
          <w:bCs/>
        </w:rPr>
        <w:t>Таблица 4</w:t>
      </w:r>
      <w:r>
        <w:rPr>
          <w:bCs/>
        </w:rPr>
        <w:t xml:space="preserve">                                                                                                       </w:t>
      </w:r>
      <w:r>
        <w:t>тыс. руб.</w:t>
      </w:r>
      <w:r>
        <w:rPr>
          <w:b/>
          <w:bCs/>
        </w:rPr>
        <w:t xml:space="preserve"> </w:t>
      </w:r>
    </w:p>
    <w:p w:rsidR="00AC6DE5" w:rsidRDefault="00AC6DE5" w:rsidP="00AC6DE5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6"/>
        <w:gridCol w:w="1561"/>
        <w:gridCol w:w="1560"/>
        <w:gridCol w:w="1277"/>
        <w:gridCol w:w="1276"/>
        <w:gridCol w:w="1135"/>
      </w:tblGrid>
      <w:tr w:rsidR="00AC6DE5" w:rsidTr="00AC6DE5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5631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 на 2017</w:t>
            </w:r>
            <w:r w:rsidR="00AC6DE5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AC6DE5" w:rsidRDefault="005631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119</w:t>
            </w:r>
          </w:p>
          <w:p w:rsidR="00AC6DE5" w:rsidRDefault="0056316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от 30.12.2016</w:t>
            </w:r>
            <w:r w:rsidR="00AC6DE5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AC6DE5" w:rsidRDefault="005631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2017</w:t>
            </w:r>
            <w:r w:rsidR="00AC6DE5">
              <w:rPr>
                <w:sz w:val="20"/>
                <w:szCs w:val="20"/>
                <w:lang w:eastAsia="en-US"/>
              </w:rPr>
              <w:t xml:space="preserve"> год</w:t>
            </w:r>
          </w:p>
          <w:p w:rsidR="00AC6DE5" w:rsidRDefault="00AC6D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AC6DE5" w:rsidRDefault="005631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="00AC6DE5">
              <w:rPr>
                <w:sz w:val="20"/>
                <w:szCs w:val="20"/>
                <w:lang w:eastAsia="en-US"/>
              </w:rPr>
              <w:t>16</w:t>
            </w:r>
          </w:p>
          <w:p w:rsidR="00AC6DE5" w:rsidRDefault="0056316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от 27.12.2017</w:t>
            </w:r>
            <w:r w:rsidR="00AC6DE5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5631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</w:t>
            </w:r>
            <w:r w:rsidR="00AC6DE5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Отклонения от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6DE5" w:rsidRDefault="00AC6DE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AC6DE5" w:rsidTr="00563169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Pr="00563169" w:rsidRDefault="00563169">
            <w:pPr>
              <w:spacing w:line="276" w:lineRule="auto"/>
              <w:jc w:val="center"/>
              <w:rPr>
                <w:lang w:eastAsia="en-US"/>
              </w:rPr>
            </w:pPr>
            <w:r w:rsidRPr="00563169">
              <w:rPr>
                <w:lang w:eastAsia="en-US"/>
              </w:rPr>
              <w:t>13498,6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Pr="00563169" w:rsidRDefault="00563169">
            <w:pPr>
              <w:spacing w:line="276" w:lineRule="auto"/>
              <w:jc w:val="center"/>
              <w:rPr>
                <w:lang w:eastAsia="en-US"/>
              </w:rPr>
            </w:pPr>
            <w:r w:rsidRPr="00563169">
              <w:rPr>
                <w:lang w:eastAsia="en-US"/>
              </w:rPr>
              <w:t>14857,4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Pr="00563169" w:rsidRDefault="00563169">
            <w:pPr>
              <w:spacing w:line="276" w:lineRule="auto"/>
              <w:jc w:val="center"/>
              <w:rPr>
                <w:lang w:eastAsia="en-US"/>
              </w:rPr>
            </w:pPr>
            <w:r w:rsidRPr="00563169">
              <w:rPr>
                <w:lang w:eastAsia="en-US"/>
              </w:rPr>
              <w:t>14752,6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3169" w:rsidRPr="00563169" w:rsidRDefault="00563169" w:rsidP="00563169">
            <w:pPr>
              <w:spacing w:line="276" w:lineRule="auto"/>
              <w:jc w:val="center"/>
              <w:rPr>
                <w:lang w:eastAsia="en-US"/>
              </w:rPr>
            </w:pPr>
            <w:r w:rsidRPr="00563169">
              <w:rPr>
                <w:lang w:eastAsia="en-US"/>
              </w:rPr>
              <w:t>104,8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DE5" w:rsidRPr="00563169" w:rsidRDefault="00563169">
            <w:pPr>
              <w:spacing w:line="276" w:lineRule="auto"/>
              <w:jc w:val="center"/>
              <w:rPr>
                <w:lang w:eastAsia="en-US"/>
              </w:rPr>
            </w:pPr>
            <w:r w:rsidRPr="00563169">
              <w:rPr>
                <w:lang w:eastAsia="en-US"/>
              </w:rPr>
              <w:t>99,3</w:t>
            </w:r>
          </w:p>
        </w:tc>
      </w:tr>
      <w:tr w:rsidR="00AC6DE5" w:rsidTr="00563169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AC6DE5" w:rsidTr="00563169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DE5" w:rsidRDefault="00AC6DE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DE5" w:rsidRDefault="005631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AC6DE5" w:rsidRDefault="00AC6DE5" w:rsidP="00AC6DE5"/>
    <w:p w:rsidR="00AC6DE5" w:rsidRDefault="00AC6DE5" w:rsidP="00AC6DE5">
      <w:pPr>
        <w:ind w:firstLine="709"/>
        <w:jc w:val="both"/>
      </w:pPr>
      <w:r>
        <w:t>Общий объем запланированных расходов  резервно</w:t>
      </w:r>
      <w:r w:rsidR="00563169">
        <w:t>го фонда составляет не более 0,2</w:t>
      </w:r>
      <w:r>
        <w:t xml:space="preserve">%  от расходной части  бюджета </w:t>
      </w:r>
      <w:proofErr w:type="spellStart"/>
      <w:r>
        <w:t>Турунтаевского</w:t>
      </w:r>
      <w:proofErr w:type="spellEnd"/>
      <w:r>
        <w:t xml:space="preserve"> сельского поселения, что не превышает ограничений,  установленных пунктом 3 статьи 81 Бюджетного кодекса РФ. </w:t>
      </w:r>
      <w:r w:rsidR="00563169">
        <w:t>Средства резервного фонда в 2017 году распределены на другие статьи расходов.</w:t>
      </w:r>
    </w:p>
    <w:p w:rsidR="00B044D1" w:rsidRDefault="00B044D1" w:rsidP="00AC6DE5">
      <w:pPr>
        <w:ind w:firstLine="709"/>
        <w:jc w:val="both"/>
      </w:pPr>
    </w:p>
    <w:p w:rsidR="00B044D1" w:rsidRDefault="00B044D1" w:rsidP="00B044D1">
      <w:pPr>
        <w:pStyle w:val="ad"/>
        <w:numPr>
          <w:ilvl w:val="0"/>
          <w:numId w:val="3"/>
        </w:numPr>
        <w:jc w:val="center"/>
        <w:rPr>
          <w:b/>
        </w:rPr>
      </w:pPr>
      <w:r w:rsidRPr="001074D8">
        <w:rPr>
          <w:b/>
        </w:rPr>
        <w:t>Анализ состояния дебиторской и кредиторской задолженности.</w:t>
      </w:r>
    </w:p>
    <w:p w:rsidR="00B044D1" w:rsidRPr="00B044D1" w:rsidRDefault="00B044D1" w:rsidP="00B044D1">
      <w:pPr>
        <w:ind w:left="709"/>
        <w:rPr>
          <w:b/>
        </w:rPr>
      </w:pPr>
    </w:p>
    <w:p w:rsidR="00B044D1" w:rsidRDefault="00B044D1" w:rsidP="00B044D1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распорядителя ф 0503130 на 01.01.2017г и 01.01.2018г задолженность по расчетам с кредиторами и дебиторами составляла:</w:t>
      </w:r>
    </w:p>
    <w:p w:rsidR="00B044D1" w:rsidRDefault="00B044D1" w:rsidP="00B044D1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B044D1" w:rsidTr="00AD76E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01.01.2018</w:t>
            </w:r>
            <w:r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B044D1" w:rsidTr="001F22E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4205,0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3098,7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-1106,2</w:t>
            </w:r>
          </w:p>
        </w:tc>
      </w:tr>
      <w:tr w:rsidR="00B044D1" w:rsidTr="00AD76E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1" w:rsidRDefault="00B044D1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3849,0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2920,7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1" w:rsidRDefault="001F22EE" w:rsidP="00AD76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-928,3</w:t>
            </w:r>
          </w:p>
        </w:tc>
      </w:tr>
    </w:tbl>
    <w:p w:rsidR="00B044D1" w:rsidRDefault="00B044D1" w:rsidP="00B044D1">
      <w:pPr>
        <w:rPr>
          <w:rFonts w:ascii="Times New Roman CYR" w:hAnsi="Times New Roman CYR" w:cs="Times New Roman CYR"/>
          <w:bCs/>
        </w:rPr>
      </w:pPr>
    </w:p>
    <w:p w:rsidR="00B044D1" w:rsidRDefault="00B044D1" w:rsidP="00B044D1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Дебиторская задолженность за</w:t>
      </w:r>
      <w:r>
        <w:rPr>
          <w:rFonts w:ascii="Times New Roman CYR" w:hAnsi="Times New Roman CYR" w:cs="Times New Roman CYR"/>
          <w:bCs/>
        </w:rPr>
        <w:t xml:space="preserve"> 2017</w:t>
      </w:r>
      <w:r w:rsidR="001F22EE">
        <w:rPr>
          <w:rFonts w:ascii="Times New Roman CYR" w:hAnsi="Times New Roman CYR" w:cs="Times New Roman CYR"/>
          <w:bCs/>
        </w:rPr>
        <w:t xml:space="preserve"> год   уменьшилась на 1106,2</w:t>
      </w:r>
      <w:r>
        <w:rPr>
          <w:rFonts w:ascii="Times New Roman CYR" w:hAnsi="Times New Roman CYR" w:cs="Times New Roman CYR"/>
          <w:bCs/>
        </w:rPr>
        <w:t xml:space="preserve"> тыс. руб. и </w:t>
      </w:r>
      <w:r w:rsidR="001F22EE">
        <w:rPr>
          <w:rFonts w:ascii="Times New Roman CYR" w:hAnsi="Times New Roman CYR" w:cs="Times New Roman CYR"/>
          <w:bCs/>
        </w:rPr>
        <w:t xml:space="preserve"> на 01.01.2018г составляет   3098,7</w:t>
      </w:r>
      <w:r>
        <w:rPr>
          <w:rFonts w:ascii="Times New Roman CYR" w:hAnsi="Times New Roman CYR" w:cs="Times New Roman CYR"/>
          <w:bCs/>
        </w:rPr>
        <w:t xml:space="preserve"> тыс. руб.</w:t>
      </w:r>
    </w:p>
    <w:p w:rsidR="00B044D1" w:rsidRDefault="00B044D1" w:rsidP="00B044D1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</w:t>
      </w:r>
      <w:r w:rsidR="001F22EE">
        <w:rPr>
          <w:rFonts w:ascii="Times New Roman CYR" w:hAnsi="Times New Roman CYR" w:cs="Times New Roman CYR"/>
          <w:bCs/>
        </w:rPr>
        <w:t>орская задолженность уменьшилась</w:t>
      </w:r>
      <w:r>
        <w:rPr>
          <w:rFonts w:ascii="Times New Roman CYR" w:hAnsi="Times New Roman CYR" w:cs="Times New Roman CYR"/>
          <w:bCs/>
        </w:rPr>
        <w:t xml:space="preserve"> н</w:t>
      </w:r>
      <w:r w:rsidR="001F22EE">
        <w:rPr>
          <w:rFonts w:ascii="Times New Roman CYR" w:hAnsi="Times New Roman CYR" w:cs="Times New Roman CYR"/>
          <w:bCs/>
        </w:rPr>
        <w:t>а 2920,7</w:t>
      </w:r>
      <w:r>
        <w:rPr>
          <w:rFonts w:ascii="Times New Roman CYR" w:hAnsi="Times New Roman CYR" w:cs="Times New Roman CYR"/>
          <w:bCs/>
        </w:rPr>
        <w:t xml:space="preserve"> тыс. руб. и </w:t>
      </w:r>
      <w:r w:rsidR="001F22EE">
        <w:rPr>
          <w:rFonts w:ascii="Times New Roman CYR" w:hAnsi="Times New Roman CYR" w:cs="Times New Roman CYR"/>
          <w:bCs/>
        </w:rPr>
        <w:t>на 01.01.2018г составляет 2920,7</w:t>
      </w:r>
      <w:bookmarkStart w:id="5" w:name="_GoBack"/>
      <w:bookmarkEnd w:id="5"/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B044D1" w:rsidRDefault="00B044D1" w:rsidP="00B044D1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B044D1" w:rsidRDefault="00B044D1" w:rsidP="00AC6DE5">
      <w:pPr>
        <w:ind w:firstLine="709"/>
        <w:jc w:val="both"/>
      </w:pPr>
    </w:p>
    <w:p w:rsidR="00AC6DE5" w:rsidRDefault="00AC6DE5" w:rsidP="00AC6DE5">
      <w:pPr>
        <w:ind w:firstLine="709"/>
        <w:jc w:val="both"/>
      </w:pPr>
    </w:p>
    <w:p w:rsidR="00AC6DE5" w:rsidRDefault="00AC6DE5" w:rsidP="00AC6DE5">
      <w:pPr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Анализ движения нефинансовых активов.</w:t>
      </w:r>
    </w:p>
    <w:p w:rsidR="00AC6DE5" w:rsidRDefault="00AC6DE5" w:rsidP="00AC6DE5">
      <w:pPr>
        <w:ind w:firstLine="720"/>
        <w:jc w:val="center"/>
        <w:rPr>
          <w:color w:val="000000"/>
        </w:rPr>
      </w:pPr>
    </w:p>
    <w:p w:rsidR="00AC6DE5" w:rsidRPr="00D655F0" w:rsidRDefault="00AC6DE5" w:rsidP="00AC6D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5F0">
        <w:rPr>
          <w:rFonts w:ascii="Times New Roman" w:hAnsi="Times New Roman" w:cs="Times New Roman"/>
          <w:sz w:val="24"/>
          <w:szCs w:val="24"/>
        </w:rPr>
        <w:t xml:space="preserve">   В нарушение требований   статьи 11 Федерального закона от 06.12.2011г.  № 402-ФЗ «О бухгалтерском учете»</w:t>
      </w:r>
      <w:r w:rsidRPr="00D655F0">
        <w:rPr>
          <w:sz w:val="24"/>
          <w:szCs w:val="24"/>
        </w:rPr>
        <w:t xml:space="preserve"> </w:t>
      </w:r>
      <w:r w:rsidRPr="00D655F0">
        <w:rPr>
          <w:rFonts w:ascii="Times New Roman" w:hAnsi="Times New Roman" w:cs="Times New Roman"/>
          <w:sz w:val="24"/>
          <w:szCs w:val="24"/>
        </w:rPr>
        <w:t xml:space="preserve">и  пункта 7 Инструкции № 191н Администрацией </w:t>
      </w:r>
      <w:proofErr w:type="spellStart"/>
      <w:r w:rsidRPr="00D655F0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D655F0">
        <w:rPr>
          <w:rFonts w:ascii="Times New Roman" w:hAnsi="Times New Roman" w:cs="Times New Roman"/>
          <w:sz w:val="24"/>
          <w:szCs w:val="24"/>
        </w:rPr>
        <w:t xml:space="preserve"> сельского поселения пе</w:t>
      </w:r>
      <w:r w:rsidRPr="00D655F0">
        <w:rPr>
          <w:rFonts w:ascii="Times New Roman" w:eastAsia="Times New Roman" w:hAnsi="Times New Roman" w:cs="Times New Roman"/>
          <w:sz w:val="24"/>
          <w:szCs w:val="24"/>
        </w:rPr>
        <w:t>ред составлением годовой бюджетной отчетности</w:t>
      </w:r>
      <w:r w:rsidRPr="00D655F0">
        <w:rPr>
          <w:rFonts w:ascii="Times New Roman" w:hAnsi="Times New Roman" w:cs="Times New Roman"/>
          <w:sz w:val="24"/>
          <w:szCs w:val="24"/>
        </w:rPr>
        <w:t xml:space="preserve"> не проведена инвентаризация активов и обязательств. </w:t>
      </w:r>
    </w:p>
    <w:p w:rsidR="00AC6DE5" w:rsidRDefault="00AC6DE5" w:rsidP="00AC6DE5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AC6DE5" w:rsidRDefault="00AC6DE5" w:rsidP="00AC6DE5">
      <w:pPr>
        <w:ind w:right="-40" w:firstLine="709"/>
        <w:jc w:val="both"/>
        <w:rPr>
          <w:color w:val="000000"/>
        </w:rPr>
      </w:pPr>
      <w:r>
        <w:rPr>
          <w:color w:val="000000"/>
        </w:rPr>
        <w:t>Стоимость основных средств на нач</w:t>
      </w:r>
      <w:r w:rsidR="00813C1F">
        <w:rPr>
          <w:color w:val="000000"/>
        </w:rPr>
        <w:t>ало 2017</w:t>
      </w:r>
      <w:r>
        <w:rPr>
          <w:color w:val="000000"/>
        </w:rPr>
        <w:t xml:space="preserve"> года составляла    </w:t>
      </w:r>
      <w:r w:rsidR="00813C1F">
        <w:rPr>
          <w:color w:val="000000"/>
        </w:rPr>
        <w:t>52210,3 </w:t>
      </w:r>
      <w:r>
        <w:rPr>
          <w:color w:val="000000"/>
        </w:rPr>
        <w:t xml:space="preserve">тыс. рублей. Поступило основных средств за отчетный период в сумме </w:t>
      </w:r>
      <w:r w:rsidR="00813C1F">
        <w:rPr>
          <w:color w:val="000000"/>
        </w:rPr>
        <w:t xml:space="preserve">2696,0 </w:t>
      </w:r>
      <w:r>
        <w:rPr>
          <w:color w:val="000000"/>
        </w:rPr>
        <w:t>тыс. рублей (</w:t>
      </w:r>
      <w:r w:rsidR="00813C1F">
        <w:rPr>
          <w:color w:val="000000"/>
        </w:rPr>
        <w:t xml:space="preserve">Жилые помещения в сумме 227,0 тыс. рублей, нежилые помещения в сумме 2231,0 тыс. рублей, машины и оборудование 48,2 тыс. рублей, </w:t>
      </w:r>
      <w:r>
        <w:rPr>
          <w:color w:val="000000"/>
        </w:rPr>
        <w:t>производственный и хозяйственный инвентарь</w:t>
      </w:r>
      <w:r w:rsidR="00813C1F">
        <w:rPr>
          <w:color w:val="000000"/>
        </w:rPr>
        <w:t xml:space="preserve"> в </w:t>
      </w:r>
      <w:r w:rsidR="00813C1F">
        <w:rPr>
          <w:color w:val="000000"/>
        </w:rPr>
        <w:lastRenderedPageBreak/>
        <w:t>сумме 189,8 тыс. рублей</w:t>
      </w:r>
      <w:r>
        <w:rPr>
          <w:color w:val="000000"/>
        </w:rPr>
        <w:t>). Выбытие о</w:t>
      </w:r>
      <w:r w:rsidR="00813C1F">
        <w:rPr>
          <w:color w:val="000000"/>
        </w:rPr>
        <w:t>сновных сре</w:t>
      </w:r>
      <w:proofErr w:type="gramStart"/>
      <w:r w:rsidR="00813C1F">
        <w:rPr>
          <w:color w:val="000000"/>
        </w:rPr>
        <w:t>дств пр</w:t>
      </w:r>
      <w:proofErr w:type="gramEnd"/>
      <w:r w:rsidR="00813C1F">
        <w:rPr>
          <w:color w:val="000000"/>
        </w:rPr>
        <w:t>оизведено в сумме 2454,7 тыс. рублей (жилые помещения в сумме 2454,7 тыс. рублей)</w:t>
      </w:r>
      <w:r>
        <w:rPr>
          <w:color w:val="000000"/>
        </w:rPr>
        <w:t xml:space="preserve">. Остаток на конец отчетного периода составил – </w:t>
      </w:r>
      <w:r w:rsidR="00813C1F">
        <w:rPr>
          <w:color w:val="000000"/>
        </w:rPr>
        <w:t xml:space="preserve">52451,7 </w:t>
      </w:r>
      <w:r>
        <w:rPr>
          <w:color w:val="000000"/>
        </w:rPr>
        <w:t> тыс. рублей.</w:t>
      </w:r>
    </w:p>
    <w:p w:rsidR="00AC6DE5" w:rsidRDefault="00AC6DE5" w:rsidP="00AC6DE5">
      <w:pPr>
        <w:ind w:right="-40"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</w:t>
      </w:r>
      <w:r w:rsidR="00813C1F">
        <w:rPr>
          <w:color w:val="000000"/>
        </w:rPr>
        <w:t>новным средствам составила 40926,9</w:t>
      </w:r>
      <w:r>
        <w:rPr>
          <w:color w:val="000000"/>
        </w:rPr>
        <w:t> тыс. рублей.</w:t>
      </w:r>
    </w:p>
    <w:p w:rsidR="00AC6DE5" w:rsidRDefault="00AC6DE5" w:rsidP="00AC6DE5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</w:t>
      </w:r>
      <w:r w:rsidR="00813C1F">
        <w:rPr>
          <w:color w:val="000000"/>
        </w:rPr>
        <w:t>ериальных запасов на начало 2017</w:t>
      </w:r>
      <w:r>
        <w:rPr>
          <w:color w:val="000000"/>
        </w:rPr>
        <w:t xml:space="preserve"> года составляла </w:t>
      </w:r>
      <w:r w:rsidR="00813C1F">
        <w:rPr>
          <w:color w:val="000000"/>
        </w:rPr>
        <w:t xml:space="preserve">890,6 </w:t>
      </w:r>
      <w:r>
        <w:rPr>
          <w:color w:val="000000"/>
        </w:rPr>
        <w:t xml:space="preserve">тыс. рублей. Поступило материальных запасов за отчетный период в сумме </w:t>
      </w:r>
      <w:r w:rsidR="00813C1F">
        <w:rPr>
          <w:color w:val="000000"/>
        </w:rPr>
        <w:t>744,9</w:t>
      </w:r>
      <w:r>
        <w:rPr>
          <w:color w:val="000000"/>
        </w:rPr>
        <w:t xml:space="preserve"> тыс. рубл</w:t>
      </w:r>
      <w:r w:rsidR="00813C1F">
        <w:rPr>
          <w:color w:val="000000"/>
        </w:rPr>
        <w:t>ей, выбыло – 52,5</w:t>
      </w:r>
      <w:r>
        <w:rPr>
          <w:color w:val="000000"/>
        </w:rPr>
        <w:t xml:space="preserve"> тыс. рублей. На конец отчетного </w:t>
      </w:r>
      <w:r w:rsidR="00813C1F">
        <w:rPr>
          <w:color w:val="000000"/>
        </w:rPr>
        <w:t>периода остаток составляет 1583,0</w:t>
      </w:r>
      <w:r>
        <w:rPr>
          <w:color w:val="000000"/>
        </w:rPr>
        <w:t xml:space="preserve"> тыс. рублей.</w:t>
      </w:r>
    </w:p>
    <w:p w:rsidR="00AC6DE5" w:rsidRDefault="00AC6DE5" w:rsidP="00AC6DE5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AC6DE5" w:rsidRDefault="00AC6DE5" w:rsidP="00AC6DE5">
      <w:pPr>
        <w:ind w:right="-81" w:firstLine="708"/>
        <w:jc w:val="both"/>
        <w:rPr>
          <w:color w:val="000000"/>
        </w:rPr>
      </w:pPr>
    </w:p>
    <w:p w:rsidR="00AC6DE5" w:rsidRDefault="00AC6DE5" w:rsidP="00AC6DE5">
      <w:pPr>
        <w:outlineLvl w:val="0"/>
        <w:rPr>
          <w:b/>
          <w:bCs/>
        </w:rPr>
      </w:pPr>
      <w:r>
        <w:rPr>
          <w:b/>
          <w:bCs/>
        </w:rPr>
        <w:t xml:space="preserve"> Выводы:</w:t>
      </w:r>
    </w:p>
    <w:p w:rsidR="00AC6DE5" w:rsidRDefault="00AC6DE5" w:rsidP="00AC6DE5">
      <w:pPr>
        <w:rPr>
          <w:b/>
          <w:bCs/>
        </w:rPr>
      </w:pPr>
    </w:p>
    <w:p w:rsidR="00813C1F" w:rsidRDefault="00813C1F" w:rsidP="00813C1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proofErr w:type="spellStart"/>
      <w:r>
        <w:rPr>
          <w:rFonts w:ascii="Times New Roman CYR" w:hAnsi="Times New Roman CYR" w:cs="Times New Roman CYR"/>
        </w:rPr>
        <w:t>Турунтаевского</w:t>
      </w:r>
      <w:proofErr w:type="spellEnd"/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02.11.2017г № 176н), с соблюдением  сроков, определенных</w:t>
      </w:r>
      <w:proofErr w:type="gramEnd"/>
      <w:r>
        <w:t xml:space="preserve"> Бюджетным кодексом РФ и Положением «О бюджетном процессе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Турунтаевское</w:t>
      </w:r>
      <w:proofErr w:type="spellEnd"/>
      <w:r>
        <w:t xml:space="preserve"> сельское поселение». </w:t>
      </w:r>
    </w:p>
    <w:p w:rsidR="00813C1F" w:rsidRDefault="00813C1F" w:rsidP="00813C1F">
      <w:pPr>
        <w:tabs>
          <w:tab w:val="left" w:pos="1620"/>
        </w:tabs>
        <w:ind w:firstLine="709"/>
        <w:jc w:val="both"/>
      </w:pPr>
      <w: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2017 год соответствуют перечню и формам отчетов для главного распорядителя средств, утвержденным Инструкцией. </w:t>
      </w:r>
    </w:p>
    <w:p w:rsidR="00813C1F" w:rsidRDefault="00813C1F" w:rsidP="00813C1F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813C1F" w:rsidRDefault="00813C1F" w:rsidP="00813C1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Турунтаевского</w:t>
      </w:r>
      <w:proofErr w:type="spellEnd"/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bCs/>
        </w:rPr>
        <w:t xml:space="preserve"> сельского поселения за 2017 год к утверждению. </w:t>
      </w:r>
    </w:p>
    <w:p w:rsidR="00813C1F" w:rsidRDefault="00813C1F" w:rsidP="00813C1F">
      <w:pPr>
        <w:ind w:firstLine="709"/>
        <w:jc w:val="both"/>
        <w:rPr>
          <w:color w:val="000000"/>
        </w:rPr>
      </w:pPr>
      <w:r w:rsidRPr="001814AB">
        <w:rPr>
          <w:rFonts w:ascii="Times New Roman CYR" w:hAnsi="Times New Roman CYR" w:cs="Times New Roman CYR"/>
          <w:bCs/>
        </w:rPr>
        <w:t xml:space="preserve">5. </w:t>
      </w:r>
      <w:r w:rsidRPr="001814AB">
        <w:rPr>
          <w:lang w:eastAsia="ar-SA"/>
        </w:rPr>
        <w:t xml:space="preserve">Администрации сельского поселения необходимо </w:t>
      </w:r>
      <w:r w:rsidRPr="001814AB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2018 год.</w:t>
      </w:r>
    </w:p>
    <w:p w:rsidR="00813C1F" w:rsidRDefault="00813C1F" w:rsidP="00813C1F">
      <w:pPr>
        <w:ind w:firstLine="709"/>
        <w:jc w:val="both"/>
        <w:rPr>
          <w:color w:val="000000"/>
        </w:rPr>
      </w:pPr>
    </w:p>
    <w:p w:rsidR="00AC6DE5" w:rsidRDefault="00AC6DE5" w:rsidP="00AC6DE5">
      <w:pPr>
        <w:rPr>
          <w:bCs/>
        </w:rPr>
      </w:pPr>
    </w:p>
    <w:p w:rsidR="00AC6DE5" w:rsidRDefault="00AC6DE5" w:rsidP="00AC6DE5">
      <w:pPr>
        <w:rPr>
          <w:bCs/>
        </w:rPr>
      </w:pPr>
    </w:p>
    <w:p w:rsidR="00813C1F" w:rsidRPr="00813C1F" w:rsidRDefault="00813C1F" w:rsidP="00AC6DE5">
      <w:pPr>
        <w:outlineLvl w:val="0"/>
      </w:pPr>
      <w:r w:rsidRPr="00813C1F">
        <w:t xml:space="preserve">Председатель Счетной палаты                                                                     </w:t>
      </w:r>
      <w:r>
        <w:t xml:space="preserve">       </w:t>
      </w:r>
      <w:r w:rsidRPr="00813C1F">
        <w:t xml:space="preserve">  Г.М. </w:t>
      </w:r>
      <w:proofErr w:type="spellStart"/>
      <w:r w:rsidRPr="00813C1F">
        <w:t>Басирова</w:t>
      </w:r>
      <w:proofErr w:type="spellEnd"/>
    </w:p>
    <w:p w:rsidR="00813C1F" w:rsidRPr="00813C1F" w:rsidRDefault="00813C1F" w:rsidP="00AC6DE5">
      <w:pPr>
        <w:outlineLvl w:val="0"/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813C1F" w:rsidRDefault="00813C1F" w:rsidP="00AC6DE5">
      <w:pPr>
        <w:outlineLvl w:val="0"/>
        <w:rPr>
          <w:sz w:val="20"/>
          <w:szCs w:val="20"/>
        </w:rPr>
      </w:pPr>
    </w:p>
    <w:p w:rsidR="00AC6DE5" w:rsidRDefault="00813C1F" w:rsidP="00AC6DE5">
      <w:pPr>
        <w:outlineLvl w:val="0"/>
        <w:rPr>
          <w:sz w:val="20"/>
          <w:szCs w:val="20"/>
        </w:rPr>
      </w:pPr>
      <w:r>
        <w:rPr>
          <w:sz w:val="20"/>
          <w:szCs w:val="20"/>
        </w:rPr>
        <w:t>Экземпляр заключения на 9 (девяти</w:t>
      </w:r>
      <w:r w:rsidR="00AC6DE5">
        <w:rPr>
          <w:sz w:val="20"/>
          <w:szCs w:val="20"/>
        </w:rPr>
        <w:t>) листах получен</w:t>
      </w:r>
    </w:p>
    <w:p w:rsidR="00AC6DE5" w:rsidRDefault="00AC6DE5" w:rsidP="00AC6DE5">
      <w:pPr>
        <w:jc w:val="center"/>
        <w:rPr>
          <w:sz w:val="20"/>
          <w:szCs w:val="20"/>
        </w:rPr>
      </w:pPr>
    </w:p>
    <w:p w:rsidR="00AC6DE5" w:rsidRDefault="00AC6DE5" w:rsidP="00AC6DE5">
      <w:pPr>
        <w:jc w:val="center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(должность, ФИО,  дата и подпись)</w:t>
      </w:r>
    </w:p>
    <w:p w:rsidR="00B86B12" w:rsidRDefault="00B86B12"/>
    <w:sectPr w:rsidR="00B86B12" w:rsidSect="00AC6DE5"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D4" w:rsidRDefault="00F20FD4" w:rsidP="00AC6DE5">
      <w:r>
        <w:separator/>
      </w:r>
    </w:p>
  </w:endnote>
  <w:endnote w:type="continuationSeparator" w:id="0">
    <w:p w:rsidR="00F20FD4" w:rsidRDefault="00F20FD4" w:rsidP="00A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71634"/>
      <w:docPartObj>
        <w:docPartGallery w:val="Page Numbers (Bottom of Page)"/>
        <w:docPartUnique/>
      </w:docPartObj>
    </w:sdtPr>
    <w:sdtContent>
      <w:p w:rsidR="00AC6DE5" w:rsidRDefault="00AC6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EE">
          <w:rPr>
            <w:noProof/>
          </w:rPr>
          <w:t>8</w:t>
        </w:r>
        <w:r>
          <w:fldChar w:fldCharType="end"/>
        </w:r>
      </w:p>
    </w:sdtContent>
  </w:sdt>
  <w:p w:rsidR="00AC6DE5" w:rsidRDefault="00AC6D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D4" w:rsidRDefault="00F20FD4" w:rsidP="00AC6DE5">
      <w:r>
        <w:separator/>
      </w:r>
    </w:p>
  </w:footnote>
  <w:footnote w:type="continuationSeparator" w:id="0">
    <w:p w:rsidR="00F20FD4" w:rsidRDefault="00F20FD4" w:rsidP="00AC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E5"/>
    <w:rsid w:val="000D4117"/>
    <w:rsid w:val="001F0338"/>
    <w:rsid w:val="001F22EE"/>
    <w:rsid w:val="0020322C"/>
    <w:rsid w:val="00210164"/>
    <w:rsid w:val="0026446B"/>
    <w:rsid w:val="002D69AC"/>
    <w:rsid w:val="00563169"/>
    <w:rsid w:val="00580A41"/>
    <w:rsid w:val="006E753C"/>
    <w:rsid w:val="00807DCE"/>
    <w:rsid w:val="00813C1F"/>
    <w:rsid w:val="008279FB"/>
    <w:rsid w:val="008F108A"/>
    <w:rsid w:val="00954757"/>
    <w:rsid w:val="00A326E3"/>
    <w:rsid w:val="00AC4691"/>
    <w:rsid w:val="00AC6DE5"/>
    <w:rsid w:val="00B044D1"/>
    <w:rsid w:val="00B86B12"/>
    <w:rsid w:val="00C6785B"/>
    <w:rsid w:val="00CB119E"/>
    <w:rsid w:val="00D327F5"/>
    <w:rsid w:val="00D57C87"/>
    <w:rsid w:val="00D655F0"/>
    <w:rsid w:val="00DF01CA"/>
    <w:rsid w:val="00EE7C96"/>
    <w:rsid w:val="00F20FD4"/>
    <w:rsid w:val="00F56960"/>
    <w:rsid w:val="00F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6DE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AC6DE5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AC6DE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AC6D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AC6DE5"/>
    <w:pPr>
      <w:ind w:left="720"/>
      <w:contextualSpacing/>
    </w:pPr>
  </w:style>
  <w:style w:type="paragraph" w:customStyle="1" w:styleId="ConsNormal">
    <w:name w:val="ConsNormal"/>
    <w:rsid w:val="00AC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C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C6DE5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AC6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D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D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AC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6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6DE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AC6DE5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AC6DE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AC6D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AC6DE5"/>
    <w:pPr>
      <w:ind w:left="720"/>
      <w:contextualSpacing/>
    </w:pPr>
  </w:style>
  <w:style w:type="paragraph" w:customStyle="1" w:styleId="ConsNormal">
    <w:name w:val="ConsNormal"/>
    <w:rsid w:val="00AC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C6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C6DE5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AC6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D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D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AC6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56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8C40Fv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ECE0Fv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DA8C40FvAD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FAFCF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6CA7-D2BF-4A23-A5FD-91B15F2E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2018-06-08T08:31:00Z</cp:lastPrinted>
  <dcterms:created xsi:type="dcterms:W3CDTF">2018-06-08T03:38:00Z</dcterms:created>
  <dcterms:modified xsi:type="dcterms:W3CDTF">2018-06-08T08:32:00Z</dcterms:modified>
</cp:coreProperties>
</file>