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0F" w:rsidRDefault="00DE400F" w:rsidP="00DE400F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976222" r:id="rId10"/>
        </w:object>
      </w:r>
    </w:p>
    <w:p w:rsidR="00DE400F" w:rsidRPr="001074D8" w:rsidRDefault="00DE400F" w:rsidP="00DE400F">
      <w:pPr>
        <w:autoSpaceDE w:val="0"/>
        <w:autoSpaceDN w:val="0"/>
        <w:adjustRightInd w:val="0"/>
        <w:jc w:val="center"/>
      </w:pPr>
      <w:r w:rsidRPr="001074D8">
        <w:rPr>
          <w:b/>
          <w:bCs/>
        </w:rPr>
        <w:t>Муниципальное образование «Томский район»</w:t>
      </w:r>
    </w:p>
    <w:p w:rsidR="00DE400F" w:rsidRPr="001074D8" w:rsidRDefault="00DE400F" w:rsidP="00DE400F">
      <w:pPr>
        <w:autoSpaceDE w:val="0"/>
        <w:autoSpaceDN w:val="0"/>
        <w:adjustRightInd w:val="0"/>
        <w:jc w:val="center"/>
        <w:rPr>
          <w:b/>
          <w:bCs/>
        </w:rPr>
      </w:pPr>
      <w:r w:rsidRPr="001074D8">
        <w:rPr>
          <w:b/>
          <w:bCs/>
        </w:rPr>
        <w:t>Дума Томского района</w:t>
      </w:r>
    </w:p>
    <w:p w:rsidR="00DE400F" w:rsidRPr="001074D8" w:rsidRDefault="00DE400F" w:rsidP="00DE400F">
      <w:pPr>
        <w:autoSpaceDE w:val="0"/>
        <w:autoSpaceDN w:val="0"/>
        <w:adjustRightInd w:val="0"/>
        <w:jc w:val="center"/>
        <w:rPr>
          <w:b/>
          <w:bCs/>
        </w:rPr>
      </w:pPr>
      <w:r w:rsidRPr="001074D8">
        <w:rPr>
          <w:b/>
          <w:bCs/>
        </w:rPr>
        <w:t xml:space="preserve">Счетная палата </w:t>
      </w:r>
    </w:p>
    <w:p w:rsidR="00DE400F" w:rsidRPr="00DE400F" w:rsidRDefault="00DE400F" w:rsidP="00DE400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074D8">
        <w:rPr>
          <w:rFonts w:ascii="Times New Roman CYR" w:hAnsi="Times New Roman CYR" w:cs="Times New Roman CYR"/>
          <w:sz w:val="22"/>
          <w:szCs w:val="22"/>
        </w:rPr>
        <w:t>пр. Фрунзе,</w:t>
      </w:r>
      <w:r w:rsidR="00F862BE" w:rsidRPr="001074D8">
        <w:rPr>
          <w:rFonts w:ascii="Times New Roman CYR" w:hAnsi="Times New Roman CYR" w:cs="Times New Roman CYR"/>
          <w:sz w:val="22"/>
          <w:szCs w:val="22"/>
        </w:rPr>
        <w:t xml:space="preserve"> 59а,  г. Томск, Россия, 634061,</w:t>
      </w:r>
      <w:r w:rsidRPr="001074D8">
        <w:rPr>
          <w:rFonts w:ascii="Times New Roman CYR" w:hAnsi="Times New Roman CYR" w:cs="Times New Roman CYR"/>
          <w:sz w:val="22"/>
          <w:szCs w:val="22"/>
        </w:rPr>
        <w:t xml:space="preserve"> тел. </w:t>
      </w:r>
      <w:r w:rsidRPr="001074D8">
        <w:rPr>
          <w:rFonts w:ascii="Times New Roman CYR" w:hAnsi="Times New Roman CYR" w:cs="Times New Roman CYR"/>
          <w:sz w:val="22"/>
          <w:szCs w:val="22"/>
          <w:lang w:val="en-US"/>
        </w:rPr>
        <w:t>(</w:t>
      </w:r>
      <w:r w:rsidRPr="001074D8">
        <w:rPr>
          <w:rFonts w:ascii="Times New Roman CYR" w:hAnsi="Times New Roman CYR" w:cs="Times New Roman CYR"/>
          <w:sz w:val="22"/>
          <w:szCs w:val="22"/>
        </w:rPr>
        <w:t>факс</w:t>
      </w:r>
      <w:r w:rsidRPr="001074D8">
        <w:rPr>
          <w:rFonts w:ascii="Times New Roman CYR" w:hAnsi="Times New Roman CYR" w:cs="Times New Roman CYR"/>
          <w:sz w:val="22"/>
          <w:szCs w:val="22"/>
          <w:lang w:val="en-US"/>
        </w:rPr>
        <w:t>) 44-22-61</w:t>
      </w:r>
      <w:r w:rsidRPr="001074D8">
        <w:rPr>
          <w:rFonts w:ascii="Times New Roman CYR" w:hAnsi="Times New Roman CYR" w:cs="Times New Roman CYR"/>
          <w:sz w:val="22"/>
          <w:szCs w:val="22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DE400F">
          <w:rPr>
            <w:rStyle w:val="a3"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DE400F">
          <w:rPr>
            <w:rStyle w:val="a3"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DE400F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DE400F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Pr="00DE400F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DE400F" w:rsidRDefault="00DE400F" w:rsidP="00DE400F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DE400F" w:rsidRDefault="00DE400F" w:rsidP="00DE400F">
      <w:pPr>
        <w:autoSpaceDE w:val="0"/>
        <w:autoSpaceDN w:val="0"/>
        <w:adjustRightInd w:val="0"/>
        <w:jc w:val="both"/>
      </w:pPr>
    </w:p>
    <w:p w:rsidR="00DE400F" w:rsidRDefault="00DE400F" w:rsidP="00DE400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7</w:t>
      </w:r>
    </w:p>
    <w:p w:rsidR="00DE400F" w:rsidRPr="001074D8" w:rsidRDefault="00DE400F" w:rsidP="00DE400F">
      <w:pPr>
        <w:keepNext/>
        <w:autoSpaceDE w:val="0"/>
        <w:autoSpaceDN w:val="0"/>
        <w:adjustRightInd w:val="0"/>
        <w:ind w:left="-709" w:right="-1"/>
        <w:jc w:val="center"/>
        <w:rPr>
          <w:b/>
          <w:bCs/>
        </w:rPr>
      </w:pPr>
      <w:r w:rsidRPr="001074D8">
        <w:rPr>
          <w:b/>
          <w:bCs/>
        </w:rPr>
        <w:t>по итогам внешней проверки отчёта об исполнении бюджета</w:t>
      </w:r>
    </w:p>
    <w:p w:rsidR="00DE400F" w:rsidRPr="001074D8" w:rsidRDefault="00DE400F" w:rsidP="00DE400F">
      <w:pPr>
        <w:keepNext/>
        <w:autoSpaceDE w:val="0"/>
        <w:autoSpaceDN w:val="0"/>
        <w:adjustRightInd w:val="0"/>
        <w:ind w:left="-709" w:right="-1"/>
        <w:jc w:val="center"/>
        <w:rPr>
          <w:b/>
          <w:bCs/>
        </w:rPr>
      </w:pPr>
      <w:proofErr w:type="spellStart"/>
      <w:r w:rsidRPr="001074D8">
        <w:rPr>
          <w:b/>
          <w:bCs/>
        </w:rPr>
        <w:t>Богашевского</w:t>
      </w:r>
      <w:proofErr w:type="spellEnd"/>
      <w:r w:rsidRPr="001074D8">
        <w:rPr>
          <w:b/>
          <w:bCs/>
        </w:rPr>
        <w:t xml:space="preserve"> сельского</w:t>
      </w:r>
      <w:r w:rsidRPr="001074D8">
        <w:rPr>
          <w:b/>
        </w:rPr>
        <w:t xml:space="preserve"> </w:t>
      </w:r>
      <w:r w:rsidRPr="001074D8">
        <w:rPr>
          <w:b/>
          <w:bCs/>
        </w:rPr>
        <w:t>поселения за 2017 год.</w:t>
      </w:r>
    </w:p>
    <w:p w:rsidR="00DE400F" w:rsidRDefault="00DE400F" w:rsidP="00DE400F">
      <w:pPr>
        <w:pStyle w:val="a5"/>
        <w:jc w:val="center"/>
        <w:rPr>
          <w:sz w:val="28"/>
          <w:szCs w:val="28"/>
        </w:rPr>
      </w:pPr>
    </w:p>
    <w:p w:rsidR="00DE400F" w:rsidRDefault="00DE400F" w:rsidP="00DE400F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27.04. 2018г. </w:t>
      </w:r>
    </w:p>
    <w:p w:rsidR="00DE400F" w:rsidRDefault="00DE400F" w:rsidP="00DE400F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E400F" w:rsidRDefault="00DE400F" w:rsidP="00DE400F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DE400F" w:rsidRDefault="00DE400F" w:rsidP="00DE400F">
      <w:pPr>
        <w:ind w:firstLine="709"/>
        <w:jc w:val="both"/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 xml:space="preserve">пункт 2.3  плана работы Счетной палаты муниципального образования «Томский район» на 2018 год, утвержденного распоряжением  Счетной палаты от 28.12.2017г. № 16,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2016 год» </w:t>
      </w:r>
      <w:r>
        <w:t xml:space="preserve">от  16.03.2018 № 7, </w:t>
      </w:r>
      <w:r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от 30.03.2017г № 1,  обращение Совета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</w:t>
      </w:r>
      <w:r w:rsidR="003A4EC6">
        <w:rPr>
          <w:rFonts w:ascii="Times New Roman CYR" w:hAnsi="Times New Roman CYR" w:cs="Times New Roman CYR"/>
        </w:rPr>
        <w:t xml:space="preserve">я от 29.03.2018г </w:t>
      </w:r>
      <w:r>
        <w:rPr>
          <w:rFonts w:ascii="Times New Roman CYR" w:hAnsi="Times New Roman CYR" w:cs="Times New Roman CYR"/>
        </w:rPr>
        <w:t>№ 01-17/12.</w:t>
      </w:r>
      <w:r>
        <w:t xml:space="preserve">  </w:t>
      </w:r>
    </w:p>
    <w:p w:rsidR="00DE400F" w:rsidRDefault="00DE400F" w:rsidP="00DE400F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DE400F" w:rsidRDefault="00DE400F" w:rsidP="00DE400F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DE400F" w:rsidRDefault="00DE400F" w:rsidP="00DE400F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DE400F" w:rsidRDefault="00DE400F" w:rsidP="00DE400F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 за 2017 год.</w:t>
      </w:r>
    </w:p>
    <w:p w:rsidR="00DE400F" w:rsidRDefault="00DE400F" w:rsidP="00DE400F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DE400F" w:rsidRDefault="00DE400F" w:rsidP="00DE400F">
      <w:pPr>
        <w:ind w:firstLine="709"/>
        <w:jc w:val="both"/>
      </w:pPr>
      <w:r>
        <w:t xml:space="preserve"> Администрация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поселения.</w:t>
      </w:r>
    </w:p>
    <w:p w:rsidR="00DE400F" w:rsidRDefault="00DE400F" w:rsidP="00DE400F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проводилась с 01 апреля по 27 апреля 2018г. в помещении Счетной палаты по адресу:                     г. Томск, пр. Фрунзе, 59а.</w:t>
      </w:r>
    </w:p>
    <w:p w:rsidR="00DE400F" w:rsidRDefault="00DE400F" w:rsidP="00DE400F">
      <w:pPr>
        <w:jc w:val="both"/>
        <w:rPr>
          <w:b/>
        </w:rPr>
      </w:pPr>
    </w:p>
    <w:p w:rsidR="00DE400F" w:rsidRDefault="00DE400F" w:rsidP="00DE400F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DE400F" w:rsidRPr="001074D8" w:rsidRDefault="00DE400F" w:rsidP="00DE400F">
      <w:pPr>
        <w:pStyle w:val="a8"/>
        <w:numPr>
          <w:ilvl w:val="0"/>
          <w:numId w:val="1"/>
        </w:numPr>
        <w:jc w:val="center"/>
        <w:rPr>
          <w:b/>
          <w:bCs/>
        </w:rPr>
      </w:pPr>
      <w:r w:rsidRPr="001074D8">
        <w:rPr>
          <w:b/>
          <w:bCs/>
        </w:rPr>
        <w:t>Общая информация.</w:t>
      </w:r>
    </w:p>
    <w:p w:rsidR="00DE400F" w:rsidRDefault="00DE400F" w:rsidP="00DE400F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Богашевское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DE400F" w:rsidRDefault="00DE400F" w:rsidP="00DE400F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Богашевское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DE400F" w:rsidRDefault="00DE400F" w:rsidP="00DE400F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наименование: муниципальное образование "</w:t>
      </w:r>
      <w:proofErr w:type="spellStart"/>
      <w:r>
        <w:rPr>
          <w:rFonts w:ascii="Times New Roman" w:hAnsi="Times New Roman"/>
          <w:szCs w:val="24"/>
        </w:rPr>
        <w:t>Богашевское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DE400F" w:rsidRDefault="00DE400F" w:rsidP="00DE400F">
      <w:pPr>
        <w:ind w:firstLine="540"/>
        <w:jc w:val="both"/>
      </w:pPr>
      <w:r>
        <w:lastRenderedPageBreak/>
        <w:t xml:space="preserve">Административным центром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 является село  Богашево.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F862BE">
        <w:t>(в редакции от 02.11.2017</w:t>
      </w:r>
      <w:r>
        <w:t>г</w:t>
      </w:r>
      <w:r w:rsidR="00F862BE">
        <w:t xml:space="preserve"> № 176н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</w:t>
      </w:r>
      <w:r w:rsidR="00F862BE">
        <w:rPr>
          <w:rFonts w:ascii="Times New Roman CYR" w:hAnsi="Times New Roman CYR" w:cs="Times New Roman CYR"/>
        </w:rPr>
        <w:t xml:space="preserve"> 191н</w:t>
      </w:r>
      <w:r>
        <w:rPr>
          <w:rFonts w:ascii="Times New Roman CYR" w:hAnsi="Times New Roman CYR" w:cs="Times New Roman CYR"/>
        </w:rPr>
        <w:t>).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</w:t>
      </w:r>
      <w:r w:rsidR="00F862BE">
        <w:rPr>
          <w:rFonts w:ascii="Times New Roman CYR" w:hAnsi="Times New Roman CYR" w:cs="Times New Roman CYR"/>
        </w:rPr>
        <w:t>кого</w:t>
      </w:r>
      <w:proofErr w:type="spellEnd"/>
      <w:r w:rsidR="00F862BE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год, решение Совета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</w:t>
      </w:r>
      <w:r w:rsidR="00F862BE">
        <w:rPr>
          <w:rFonts w:ascii="Times New Roman CYR" w:hAnsi="Times New Roman CYR" w:cs="Times New Roman CYR"/>
        </w:rPr>
        <w:t>ельского поселения от 30.12.2016г.  № 30 «О бюджете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Богашевс</w:t>
      </w:r>
      <w:r w:rsidR="00F862BE">
        <w:rPr>
          <w:rFonts w:ascii="Times New Roman CYR" w:hAnsi="Times New Roman CYR" w:cs="Times New Roman CYR"/>
        </w:rPr>
        <w:t>кого</w:t>
      </w:r>
      <w:proofErr w:type="spellEnd"/>
      <w:r w:rsidR="00F862BE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год»  (с изменениями), отчет по посту</w:t>
      </w:r>
      <w:r w:rsidR="00F862BE">
        <w:rPr>
          <w:rFonts w:ascii="Times New Roman CYR" w:hAnsi="Times New Roman CYR" w:cs="Times New Roman CYR"/>
        </w:rPr>
        <w:t>плениям и выбытиям на 01.01.2018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</w:t>
      </w:r>
      <w:proofErr w:type="gramEnd"/>
      <w:r>
        <w:rPr>
          <w:rFonts w:ascii="Times New Roman CYR" w:hAnsi="Times New Roman CYR" w:cs="Times New Roman CYR"/>
        </w:rPr>
        <w:t xml:space="preserve"> Томской области, бюджетная отчетность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</w:t>
      </w:r>
      <w:r w:rsidR="00F862BE">
        <w:rPr>
          <w:rFonts w:ascii="Times New Roman CYR" w:hAnsi="Times New Roman CYR" w:cs="Times New Roman CYR"/>
        </w:rPr>
        <w:t>кого</w:t>
      </w:r>
      <w:proofErr w:type="spellEnd"/>
      <w:r w:rsidR="00F862BE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DE400F" w:rsidRDefault="00DE400F" w:rsidP="00DE400F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1709B8" w:rsidRDefault="001709B8" w:rsidP="00DE400F">
      <w:pPr>
        <w:ind w:firstLine="709"/>
        <w:jc w:val="both"/>
      </w:pPr>
    </w:p>
    <w:p w:rsidR="00DE400F" w:rsidRDefault="00DE400F" w:rsidP="00DE400F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DE400F" w:rsidRDefault="00DE400F" w:rsidP="00DE400F">
      <w:pPr>
        <w:ind w:firstLine="709"/>
        <w:jc w:val="both"/>
      </w:pP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2123"/>
        <w:gridCol w:w="1102"/>
        <w:gridCol w:w="1416"/>
        <w:gridCol w:w="739"/>
        <w:gridCol w:w="1132"/>
        <w:gridCol w:w="1274"/>
        <w:gridCol w:w="992"/>
        <w:gridCol w:w="1107"/>
      </w:tblGrid>
      <w:tr w:rsidR="00DE400F" w:rsidTr="004D31FC">
        <w:trPr>
          <w:trHeight w:val="239"/>
        </w:trPr>
        <w:tc>
          <w:tcPr>
            <w:tcW w:w="2123" w:type="dxa"/>
            <w:vMerge w:val="restart"/>
          </w:tcPr>
          <w:p w:rsidR="00DE400F" w:rsidRDefault="00DE400F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DE400F" w:rsidRDefault="00DE400F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8" w:type="dxa"/>
            <w:gridSpan w:val="2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</w:tcPr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hideMark/>
          </w:tcPr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1107" w:type="dxa"/>
            <w:vMerge w:val="restart"/>
          </w:tcPr>
          <w:p w:rsidR="00DE400F" w:rsidRDefault="00DE400F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DE400F" w:rsidRDefault="00DE400F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DE400F" w:rsidRDefault="00DE400F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DE400F" w:rsidTr="004D31FC">
        <w:trPr>
          <w:trHeight w:val="685"/>
        </w:trPr>
        <w:tc>
          <w:tcPr>
            <w:tcW w:w="2123" w:type="dxa"/>
            <w:vMerge/>
            <w:hideMark/>
          </w:tcPr>
          <w:p w:rsidR="00DE400F" w:rsidRDefault="00DE40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hideMark/>
          </w:tcPr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DE400F" w:rsidRDefault="00F862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14</w:t>
            </w:r>
            <w:r w:rsidR="00DE400F">
              <w:rPr>
                <w:sz w:val="16"/>
                <w:szCs w:val="16"/>
                <w:lang w:eastAsia="en-US"/>
              </w:rPr>
              <w:t xml:space="preserve"> </w:t>
            </w:r>
          </w:p>
          <w:p w:rsidR="00DE400F" w:rsidRDefault="00F862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26.12.2017</w:t>
            </w:r>
            <w:r w:rsidR="00DE400F">
              <w:rPr>
                <w:sz w:val="16"/>
                <w:szCs w:val="16"/>
                <w:lang w:eastAsia="en-US"/>
              </w:rPr>
              <w:t xml:space="preserve">       (с учетом изменений)</w:t>
            </w:r>
          </w:p>
        </w:tc>
        <w:tc>
          <w:tcPr>
            <w:tcW w:w="739" w:type="dxa"/>
            <w:vMerge/>
            <w:hideMark/>
          </w:tcPr>
          <w:p w:rsidR="00DE400F" w:rsidRDefault="00DE40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hideMark/>
          </w:tcPr>
          <w:p w:rsidR="00DE400F" w:rsidRDefault="00DE400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hideMark/>
          </w:tcPr>
          <w:p w:rsidR="00DE400F" w:rsidRDefault="00DE400F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hideMark/>
          </w:tcPr>
          <w:p w:rsidR="00DE400F" w:rsidRDefault="00DE400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hideMark/>
          </w:tcPr>
          <w:p w:rsidR="00DE400F" w:rsidRDefault="00DE400F">
            <w:pPr>
              <w:rPr>
                <w:sz w:val="16"/>
                <w:szCs w:val="16"/>
                <w:lang w:eastAsia="en-US"/>
              </w:rPr>
            </w:pPr>
          </w:p>
        </w:tc>
      </w:tr>
      <w:tr w:rsidR="00DE400F" w:rsidTr="004D31FC">
        <w:trPr>
          <w:trHeight w:val="129"/>
        </w:trPr>
        <w:tc>
          <w:tcPr>
            <w:tcW w:w="2123" w:type="dxa"/>
            <w:hideMark/>
          </w:tcPr>
          <w:p w:rsidR="00DE400F" w:rsidRDefault="00DE400F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hideMark/>
          </w:tcPr>
          <w:p w:rsidR="00DE400F" w:rsidRDefault="00DE400F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hideMark/>
          </w:tcPr>
          <w:p w:rsidR="00DE400F" w:rsidRDefault="00DE400F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hideMark/>
          </w:tcPr>
          <w:p w:rsidR="00DE400F" w:rsidRDefault="00DE400F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7" w:type="dxa"/>
            <w:hideMark/>
          </w:tcPr>
          <w:p w:rsidR="00DE400F" w:rsidRDefault="00DE40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4D31FC" w:rsidTr="004D31FC">
        <w:trPr>
          <w:trHeight w:val="390"/>
        </w:trPr>
        <w:tc>
          <w:tcPr>
            <w:tcW w:w="2123" w:type="dxa"/>
            <w:hideMark/>
          </w:tcPr>
          <w:p w:rsidR="004D31FC" w:rsidRDefault="004D31FC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44540,1</w:t>
            </w:r>
          </w:p>
        </w:tc>
        <w:tc>
          <w:tcPr>
            <w:tcW w:w="1416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44540,1</w:t>
            </w:r>
          </w:p>
        </w:tc>
        <w:tc>
          <w:tcPr>
            <w:tcW w:w="739" w:type="dxa"/>
          </w:tcPr>
          <w:p w:rsidR="004D31FC" w:rsidRDefault="004D31FC" w:rsidP="004D31FC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43596,5</w:t>
            </w:r>
          </w:p>
        </w:tc>
        <w:tc>
          <w:tcPr>
            <w:tcW w:w="1274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43596,5</w:t>
            </w:r>
          </w:p>
        </w:tc>
        <w:tc>
          <w:tcPr>
            <w:tcW w:w="992" w:type="dxa"/>
          </w:tcPr>
          <w:p w:rsidR="004D31FC" w:rsidRDefault="004D31FC" w:rsidP="004D31FC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4D31FC" w:rsidRDefault="004D31FC" w:rsidP="004D31FC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97,9</w:t>
            </w:r>
          </w:p>
        </w:tc>
      </w:tr>
      <w:tr w:rsidR="004D31FC" w:rsidTr="004D31FC">
        <w:trPr>
          <w:trHeight w:val="390"/>
        </w:trPr>
        <w:tc>
          <w:tcPr>
            <w:tcW w:w="2123" w:type="dxa"/>
            <w:hideMark/>
          </w:tcPr>
          <w:p w:rsidR="004D31FC" w:rsidRDefault="004D31FC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47490,7</w:t>
            </w:r>
          </w:p>
        </w:tc>
        <w:tc>
          <w:tcPr>
            <w:tcW w:w="1416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47490,7</w:t>
            </w:r>
          </w:p>
        </w:tc>
        <w:tc>
          <w:tcPr>
            <w:tcW w:w="739" w:type="dxa"/>
          </w:tcPr>
          <w:p w:rsidR="004D31FC" w:rsidRDefault="004D31FC" w:rsidP="004D31F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45440,7</w:t>
            </w:r>
          </w:p>
        </w:tc>
        <w:tc>
          <w:tcPr>
            <w:tcW w:w="1274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45440,7</w:t>
            </w:r>
          </w:p>
        </w:tc>
        <w:tc>
          <w:tcPr>
            <w:tcW w:w="992" w:type="dxa"/>
          </w:tcPr>
          <w:p w:rsidR="004D31FC" w:rsidRDefault="004D31FC" w:rsidP="004D31F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</w:tr>
      <w:tr w:rsidR="004D31FC" w:rsidTr="004D31FC">
        <w:trPr>
          <w:trHeight w:val="571"/>
        </w:trPr>
        <w:tc>
          <w:tcPr>
            <w:tcW w:w="2123" w:type="dxa"/>
            <w:hideMark/>
          </w:tcPr>
          <w:p w:rsidR="004D31FC" w:rsidRDefault="004D31FC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2950,6</w:t>
            </w:r>
          </w:p>
        </w:tc>
        <w:tc>
          <w:tcPr>
            <w:tcW w:w="1416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2950,6</w:t>
            </w:r>
          </w:p>
        </w:tc>
        <w:tc>
          <w:tcPr>
            <w:tcW w:w="739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1844,2</w:t>
            </w:r>
          </w:p>
        </w:tc>
        <w:tc>
          <w:tcPr>
            <w:tcW w:w="1274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1844,2</w:t>
            </w:r>
          </w:p>
        </w:tc>
        <w:tc>
          <w:tcPr>
            <w:tcW w:w="992" w:type="dxa"/>
          </w:tcPr>
          <w:p w:rsidR="004D31FC" w:rsidRDefault="004D31FC" w:rsidP="004D31FC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4D31FC" w:rsidRDefault="004D31FC" w:rsidP="004D3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DE400F" w:rsidRDefault="00DE400F" w:rsidP="00F86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0F" w:rsidRDefault="004D31FC" w:rsidP="00DE40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поселения  от 30.12.2016г. № 30</w:t>
      </w:r>
      <w:r w:rsidR="00DE400F"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</w:t>
      </w:r>
      <w:r>
        <w:rPr>
          <w:rFonts w:ascii="Times New Roman" w:hAnsi="Times New Roman" w:cs="Times New Roman"/>
          <w:sz w:val="24"/>
          <w:szCs w:val="24"/>
        </w:rPr>
        <w:t>селения утвержден в сумме 2950,6</w:t>
      </w:r>
      <w:r w:rsidR="00DE400F"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 w:rsidR="00DE400F">
        <w:rPr>
          <w:rFonts w:ascii="Times New Roman" w:hAnsi="Times New Roman" w:cs="Times New Roman"/>
        </w:rPr>
        <w:t xml:space="preserve"> </w:t>
      </w:r>
      <w:r w:rsidR="00DE4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00F">
        <w:rPr>
          <w:rFonts w:ascii="Times New Roman" w:hAnsi="Times New Roman" w:cs="Times New Roman"/>
          <w:sz w:val="24"/>
          <w:szCs w:val="24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1814AB" w:rsidRPr="001814AB">
        <w:rPr>
          <w:rFonts w:ascii="Times New Roman" w:hAnsi="Times New Roman" w:cs="Times New Roman"/>
          <w:sz w:val="24"/>
          <w:szCs w:val="24"/>
        </w:rPr>
        <w:t>16,8</w:t>
      </w:r>
      <w:r w:rsidR="00DE400F" w:rsidRPr="001814AB">
        <w:rPr>
          <w:rFonts w:ascii="Times New Roman" w:hAnsi="Times New Roman" w:cs="Times New Roman"/>
          <w:sz w:val="24"/>
          <w:szCs w:val="24"/>
        </w:rPr>
        <w:t>%.</w:t>
      </w:r>
      <w:r w:rsidR="00DE400F">
        <w:rPr>
          <w:rFonts w:ascii="Times New Roman" w:hAnsi="Times New Roman" w:cs="Times New Roman"/>
          <w:sz w:val="24"/>
          <w:szCs w:val="24"/>
        </w:rPr>
        <w:t xml:space="preserve">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DE400F" w:rsidRDefault="00DE400F" w:rsidP="00DE40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исполнения бюджета поселения  сложился профицит  в размере </w:t>
      </w:r>
      <w:r w:rsidR="004D31FC">
        <w:rPr>
          <w:rFonts w:ascii="Times New Roman" w:hAnsi="Times New Roman" w:cs="Times New Roman"/>
          <w:sz w:val="24"/>
          <w:szCs w:val="24"/>
          <w:lang w:eastAsia="en-US"/>
        </w:rPr>
        <w:t xml:space="preserve">1844,2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</w:rPr>
        <w:t xml:space="preserve"> </w:t>
      </w:r>
    </w:p>
    <w:p w:rsidR="00DE400F" w:rsidRDefault="004D31FC" w:rsidP="00DE400F">
      <w:pPr>
        <w:ind w:firstLine="709"/>
        <w:jc w:val="both"/>
      </w:pPr>
      <w:r>
        <w:lastRenderedPageBreak/>
        <w:t>В 2017</w:t>
      </w:r>
      <w:r w:rsidR="00DE400F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DE400F" w:rsidRDefault="00DE400F" w:rsidP="00DE400F">
      <w:pPr>
        <w:ind w:firstLine="709"/>
        <w:jc w:val="both"/>
      </w:pPr>
      <w:r>
        <w:t xml:space="preserve">Кассовое обслуживание исполнения бюджета </w:t>
      </w:r>
      <w:proofErr w:type="spellStart"/>
      <w:r>
        <w:t>Богашевского</w:t>
      </w:r>
      <w:proofErr w:type="spellEnd"/>
      <w:r>
        <w:t xml:space="preserve"> сельского поселения осуществлялось Управлением федерального казначейства по Томской области.</w:t>
      </w:r>
    </w:p>
    <w:p w:rsidR="00DE400F" w:rsidRDefault="00DE400F" w:rsidP="00DE400F">
      <w:pPr>
        <w:ind w:firstLine="709"/>
        <w:jc w:val="both"/>
      </w:pPr>
      <w: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бюджета Администрации </w:t>
      </w:r>
      <w:proofErr w:type="spellStart"/>
      <w:r>
        <w:t>Богашевского</w:t>
      </w:r>
      <w:proofErr w:type="spellEnd"/>
      <w:r>
        <w:t xml:space="preserve"> се</w:t>
      </w:r>
      <w:r w:rsidR="004D31FC">
        <w:t>льского поселения» на 01.01.2018</w:t>
      </w:r>
      <w:r>
        <w:t xml:space="preserve">г.  установлено соответствие сумм. </w:t>
      </w:r>
    </w:p>
    <w:p w:rsidR="00DE400F" w:rsidRDefault="00DE400F" w:rsidP="00DE400F">
      <w:pPr>
        <w:ind w:firstLine="709"/>
        <w:jc w:val="both"/>
      </w:pPr>
      <w:r>
        <w:t>При проведении сверки показателей формы 0503150 «Баланс по операциям кассового обслуживания и</w:t>
      </w:r>
      <w:r w:rsidR="004D31FC">
        <w:t xml:space="preserve">сполнения бюджета» </w:t>
      </w:r>
      <w:r>
        <w:t xml:space="preserve"> Управления Федерального казначейства по Томской области и формы 0503120 «Баланс исполнения бюджета Администрации  </w:t>
      </w:r>
      <w:proofErr w:type="spellStart"/>
      <w:r>
        <w:t>Богашевского</w:t>
      </w:r>
      <w:proofErr w:type="spellEnd"/>
      <w:r>
        <w:t xml:space="preserve"> се</w:t>
      </w:r>
      <w:r w:rsidR="004D31FC">
        <w:t>льского поселения» на 01.01.2018</w:t>
      </w:r>
      <w:r>
        <w:t xml:space="preserve">г.   установлено соответствие сумм. </w:t>
      </w:r>
    </w:p>
    <w:p w:rsidR="00DE400F" w:rsidRDefault="00DE400F" w:rsidP="00DE400F">
      <w:pPr>
        <w:rPr>
          <w:b/>
        </w:rPr>
      </w:pPr>
    </w:p>
    <w:p w:rsidR="00DE400F" w:rsidRPr="001709B8" w:rsidRDefault="00DE400F" w:rsidP="00DE400F">
      <w:pPr>
        <w:pStyle w:val="a8"/>
        <w:numPr>
          <w:ilvl w:val="0"/>
          <w:numId w:val="1"/>
        </w:numPr>
        <w:jc w:val="center"/>
        <w:rPr>
          <w:b/>
        </w:rPr>
      </w:pPr>
      <w:r w:rsidRPr="001709B8">
        <w:rPr>
          <w:b/>
        </w:rPr>
        <w:t>Определение степени финансовой устойчивости бюджета.</w:t>
      </w:r>
    </w:p>
    <w:p w:rsidR="00DE400F" w:rsidRPr="001709B8" w:rsidRDefault="00DE400F" w:rsidP="00DE400F">
      <w:pPr>
        <w:ind w:firstLine="709"/>
        <w:jc w:val="both"/>
      </w:pPr>
      <w:r w:rsidRPr="001709B8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1709B8">
        <w:t>дотационности</w:t>
      </w:r>
      <w:proofErr w:type="spellEnd"/>
      <w:r w:rsidRPr="001709B8">
        <w:t xml:space="preserve">. </w:t>
      </w:r>
      <w:proofErr w:type="gramStart"/>
      <w:r w:rsidRPr="001709B8">
        <w:t>Оценивается степень зависимости бюджета от финансовой помощи из районного и областного бюджетов.</w:t>
      </w:r>
      <w:proofErr w:type="gramEnd"/>
      <w:r w:rsidRPr="001709B8">
        <w:t xml:space="preserve"> Анализ финансовой устойчивости проводится по следующим показателям:</w:t>
      </w:r>
    </w:p>
    <w:p w:rsidR="00DE400F" w:rsidRPr="001709B8" w:rsidRDefault="00DE400F" w:rsidP="00DE400F">
      <w:pPr>
        <w:ind w:firstLine="709"/>
        <w:jc w:val="both"/>
      </w:pPr>
      <w:r w:rsidRPr="001709B8">
        <w:t>-коэффициент бюджетной зависимости (показывает долю дотаций и субсидий в общей сумме доходов  бюджета за вычетом субв</w:t>
      </w:r>
      <w:r w:rsidR="001709B8" w:rsidRPr="001709B8">
        <w:t>енций) плановый коэффициент 2017 года – 53,4%,  фактический –  52,9</w:t>
      </w:r>
      <w:r w:rsidRPr="001709B8">
        <w:t>%;</w:t>
      </w:r>
    </w:p>
    <w:p w:rsidR="00DE400F" w:rsidRPr="001709B8" w:rsidRDefault="00DE400F" w:rsidP="00DE400F">
      <w:pPr>
        <w:ind w:firstLine="709"/>
        <w:jc w:val="both"/>
      </w:pPr>
      <w:r w:rsidRPr="001709B8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DE400F" w:rsidRPr="001709B8" w:rsidRDefault="001709B8" w:rsidP="00DE400F">
      <w:pPr>
        <w:ind w:firstLine="709"/>
        <w:jc w:val="both"/>
      </w:pPr>
      <w:r w:rsidRPr="001709B8">
        <w:t>плановый коэффициент –  46,5</w:t>
      </w:r>
      <w:r w:rsidR="00DE400F" w:rsidRPr="001709B8">
        <w:t>%, фа</w:t>
      </w:r>
      <w:r w:rsidRPr="001709B8">
        <w:t>ктический – 47,1</w:t>
      </w:r>
      <w:r w:rsidR="00DE400F" w:rsidRPr="001709B8">
        <w:t>%</w:t>
      </w:r>
    </w:p>
    <w:p w:rsidR="001709B8" w:rsidRDefault="00DE400F" w:rsidP="001709B8">
      <w:pPr>
        <w:ind w:firstLine="709"/>
        <w:jc w:val="both"/>
      </w:pPr>
      <w:r w:rsidRPr="001709B8">
        <w:t>Анализируя  плановые и фактические значения, пр</w:t>
      </w:r>
      <w:r w:rsidR="001709B8">
        <w:t xml:space="preserve">иходим к  выводу, что бюджет поселения </w:t>
      </w:r>
      <w:r w:rsidRPr="001709B8">
        <w:t xml:space="preserve"> </w:t>
      </w:r>
      <w:r w:rsidR="001709B8" w:rsidRPr="001709B8">
        <w:t>зависит от финансовой помощи из бюджета района и области.</w:t>
      </w:r>
    </w:p>
    <w:p w:rsidR="001709B8" w:rsidRDefault="001709B8" w:rsidP="001709B8">
      <w:pPr>
        <w:jc w:val="both"/>
        <w:rPr>
          <w:rFonts w:ascii="Times New Roman CYR" w:hAnsi="Times New Roman CYR" w:cs="Times New Roman CYR"/>
        </w:rPr>
      </w:pPr>
    </w:p>
    <w:p w:rsidR="00DE400F" w:rsidRDefault="00DE400F" w:rsidP="00DE400F">
      <w:pPr>
        <w:jc w:val="both"/>
        <w:rPr>
          <w:rFonts w:ascii="Times New Roman CYR" w:hAnsi="Times New Roman CYR" w:cs="Times New Roman CYR"/>
        </w:rPr>
      </w:pPr>
    </w:p>
    <w:p w:rsidR="00DE400F" w:rsidRPr="001074D8" w:rsidRDefault="00DE400F" w:rsidP="00DE400F">
      <w:pPr>
        <w:pStyle w:val="a8"/>
        <w:numPr>
          <w:ilvl w:val="0"/>
          <w:numId w:val="1"/>
        </w:numPr>
        <w:jc w:val="center"/>
        <w:rPr>
          <w:b/>
          <w:bCs/>
        </w:rPr>
      </w:pPr>
      <w:r w:rsidRPr="001074D8">
        <w:rPr>
          <w:b/>
          <w:bCs/>
        </w:rPr>
        <w:t>Состав и содержание форм отчетности.</w:t>
      </w:r>
    </w:p>
    <w:p w:rsidR="00DE400F" w:rsidRPr="00B1234E" w:rsidRDefault="00DE400F" w:rsidP="00DE400F">
      <w:pPr>
        <w:pStyle w:val="a4"/>
        <w:spacing w:before="0" w:beforeAutospacing="0" w:after="0" w:afterAutospacing="0"/>
        <w:ind w:firstLine="547"/>
        <w:jc w:val="both"/>
      </w:pPr>
      <w:r w:rsidRPr="00B1234E">
        <w:t xml:space="preserve">Годовой отчет об исполнении бюджета </w:t>
      </w:r>
      <w:r w:rsidRPr="00B1234E">
        <w:rPr>
          <w:rStyle w:val="highlighthighlightactive"/>
        </w:rPr>
        <w:t>поселения </w:t>
      </w:r>
      <w:r w:rsidRPr="00B1234E">
        <w:t xml:space="preserve"> до его рассмотрения в Совете </w:t>
      </w:r>
      <w:bookmarkStart w:id="0" w:name="YANDEX_1067"/>
      <w:bookmarkEnd w:id="0"/>
      <w:r w:rsidRPr="00B1234E">
        <w:rPr>
          <w:rStyle w:val="highlighthighlightactive"/>
        </w:rPr>
        <w:t> </w:t>
      </w:r>
      <w:proofErr w:type="spellStart"/>
      <w:r w:rsidRPr="00B1234E">
        <w:rPr>
          <w:rFonts w:ascii="Times New Roman CYR" w:hAnsi="Times New Roman CYR" w:cs="Times New Roman CYR"/>
        </w:rPr>
        <w:t>Богашевского</w:t>
      </w:r>
      <w:proofErr w:type="spellEnd"/>
      <w:r w:rsidRPr="00B1234E">
        <w:t xml:space="preserve"> </w:t>
      </w:r>
      <w:bookmarkStart w:id="1" w:name="YANDEX_1068"/>
      <w:bookmarkEnd w:id="1"/>
      <w:r w:rsidRPr="00B1234E">
        <w:rPr>
          <w:rStyle w:val="highlighthighlightactive"/>
        </w:rPr>
        <w:t> сельского </w:t>
      </w:r>
      <w:r w:rsidRPr="00B1234E">
        <w:t xml:space="preserve"> </w:t>
      </w:r>
      <w:bookmarkStart w:id="2" w:name="YANDEX_1069"/>
      <w:bookmarkEnd w:id="2"/>
      <w:r w:rsidRPr="00B1234E">
        <w:rPr>
          <w:rStyle w:val="highlighthighlightactive"/>
        </w:rPr>
        <w:t> поселения </w:t>
      </w:r>
      <w:r w:rsidRPr="00B1234E">
        <w:t xml:space="preserve"> подлежит внешней проверке, которая включает внешнюю проверку </w:t>
      </w:r>
      <w:bookmarkStart w:id="3" w:name="YANDEX_1070"/>
      <w:bookmarkEnd w:id="3"/>
      <w:r w:rsidRPr="00B1234E">
        <w:rPr>
          <w:rStyle w:val="highlighthighlightactive"/>
        </w:rPr>
        <w:t> бюджетной </w:t>
      </w:r>
      <w:r w:rsidRPr="00B1234E">
        <w:t xml:space="preserve"> отчетности главных администраторов </w:t>
      </w:r>
      <w:bookmarkStart w:id="4" w:name="YANDEX_1071"/>
      <w:bookmarkEnd w:id="4"/>
      <w:r w:rsidRPr="00B1234E">
        <w:rPr>
          <w:rStyle w:val="highlighthighlightactive"/>
        </w:rPr>
        <w:t> бюджетных </w:t>
      </w:r>
      <w:r w:rsidRPr="00B1234E">
        <w:t xml:space="preserve"> средств и подготовку заключения на годовой отчет об исполнении бюджета.</w:t>
      </w:r>
    </w:p>
    <w:p w:rsidR="00DE400F" w:rsidRPr="00B1234E" w:rsidRDefault="00DE400F" w:rsidP="00DE400F">
      <w:pPr>
        <w:pStyle w:val="a4"/>
        <w:spacing w:before="0" w:beforeAutospacing="0" w:after="0" w:afterAutospacing="0"/>
        <w:ind w:firstLine="547"/>
        <w:jc w:val="both"/>
      </w:pPr>
      <w:r w:rsidRPr="00B1234E">
        <w:t xml:space="preserve">Совет </w:t>
      </w:r>
      <w:r w:rsidRPr="00B1234E">
        <w:rPr>
          <w:rStyle w:val="highlighthighlightactive"/>
        </w:rPr>
        <w:t>поселения </w:t>
      </w:r>
      <w:r w:rsidRPr="00B1234E"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DE400F" w:rsidRPr="00B1234E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 w:rsidRPr="00B1234E"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DE400F" w:rsidRPr="00B1234E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B1234E"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Pr="00B1234E">
        <w:rPr>
          <w:rFonts w:ascii="Times New Roman CYR" w:hAnsi="Times New Roman CYR" w:cs="Times New Roman CYR"/>
        </w:rPr>
        <w:t>Богашевского</w:t>
      </w:r>
      <w:proofErr w:type="spellEnd"/>
      <w:r w:rsidRPr="00B1234E">
        <w:rPr>
          <w:rFonts w:ascii="Times New Roman CYR" w:hAnsi="Times New Roman CYR" w:cs="Times New Roman CYR"/>
        </w:rPr>
        <w:t xml:space="preserve"> сельского поселения» от 30.03.2016г №1 Администрация поселения представила отчет об исполнении бюджета поселения за 2016 год  в Счетную палату  20.03.2017г,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 w:rsidRPr="00B1234E">
        <w:t>в сброшюрованном и пронумерованном виде с оглавлением и сопроводительным письмом.</w:t>
      </w:r>
    </w:p>
    <w:p w:rsidR="00DE400F" w:rsidRPr="00483C22" w:rsidRDefault="00DE400F" w:rsidP="00DE400F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483C22"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</w:t>
      </w:r>
      <w:r w:rsidR="002711C0" w:rsidRPr="00483C22">
        <w:t xml:space="preserve"> с требованиями Инструкции  191</w:t>
      </w:r>
      <w:r w:rsidRPr="00483C22">
        <w:t xml:space="preserve">н, в результате </w:t>
      </w:r>
      <w:r w:rsidRPr="00483C22">
        <w:rPr>
          <w:b/>
        </w:rPr>
        <w:t>выявлены следующие недостатки.</w:t>
      </w:r>
    </w:p>
    <w:p w:rsidR="009B40F3" w:rsidRDefault="00DE400F" w:rsidP="00DE400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40F3">
        <w:t xml:space="preserve">  </w:t>
      </w:r>
      <w:r w:rsidRPr="009B40F3">
        <w:rPr>
          <w:rFonts w:eastAsiaTheme="minorHAnsi"/>
          <w:lang w:eastAsia="en-US"/>
        </w:rPr>
        <w:t xml:space="preserve">В кодовой части некоторых форм не проставлены коды по ОКПО, по ОКТМО, глава </w:t>
      </w:r>
      <w:r w:rsidRPr="009B40F3">
        <w:rPr>
          <w:rFonts w:eastAsiaTheme="minorHAnsi"/>
          <w:lang w:eastAsia="en-US"/>
        </w:rPr>
        <w:lastRenderedPageBreak/>
        <w:t xml:space="preserve">по БК, ИНН. </w:t>
      </w:r>
    </w:p>
    <w:p w:rsidR="00214A4D" w:rsidRDefault="00214A4D" w:rsidP="00214A4D">
      <w:pPr>
        <w:ind w:firstLine="709"/>
        <w:jc w:val="both"/>
      </w:pPr>
      <w:r>
        <w:t xml:space="preserve">В нарушение </w:t>
      </w:r>
      <w:hyperlink r:id="rId12" w:history="1">
        <w:r>
          <w:rPr>
            <w:rStyle w:val="a3"/>
            <w:color w:val="auto"/>
            <w:u w:val="none"/>
          </w:rPr>
          <w:t>пункта 158</w:t>
        </w:r>
      </w:hyperlink>
      <w:r>
        <w:t xml:space="preserve"> Инструкции № 191н в </w:t>
      </w:r>
      <w:hyperlink r:id="rId13" w:history="1">
        <w:r>
          <w:rPr>
            <w:rStyle w:val="a3"/>
            <w:color w:val="auto"/>
            <w:u w:val="none"/>
          </w:rPr>
          <w:t>таблице № 6</w:t>
        </w:r>
      </w:hyperlink>
      <w: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4" w:history="1">
        <w:r>
          <w:rPr>
            <w:rStyle w:val="a3"/>
            <w:color w:val="auto"/>
            <w:u w:val="none"/>
          </w:rPr>
          <w:t>пункта 159</w:t>
        </w:r>
      </w:hyperlink>
      <w:r>
        <w:t xml:space="preserve"> Инструкции № 191н информация, отражаемая в </w:t>
      </w:r>
      <w:hyperlink r:id="rId15" w:history="1">
        <w:r>
          <w:rPr>
            <w:rStyle w:val="a3"/>
            <w:color w:val="auto"/>
            <w:u w:val="none"/>
          </w:rPr>
          <w:t>таблице</w:t>
        </w:r>
      </w:hyperlink>
      <w: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DE6CAC" w:rsidRPr="00214A4D" w:rsidRDefault="00DE6CAC" w:rsidP="00DE6CAC">
      <w:pPr>
        <w:ind w:firstLine="709"/>
        <w:jc w:val="both"/>
      </w:pPr>
      <w:r>
        <w:t xml:space="preserve">В нарушение пункта 163 Инструкции № 191н в ф. 0503164 «Сведения об исполнении бюджета» не заполнена графа 9 «Пояснения причин отклонения от планового процента». </w:t>
      </w:r>
      <w:proofErr w:type="gramStart"/>
      <w:r>
        <w:rPr>
          <w:rFonts w:eastAsiaTheme="minorHAnsi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eastAsiaTheme="minorHAnsi"/>
        </w:rPr>
        <w:t>недоведение</w:t>
      </w:r>
      <w:proofErr w:type="spellEnd"/>
      <w:r>
        <w:rPr>
          <w:rFonts w:eastAsiaTheme="minorHAnsi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eastAsiaTheme="minorHAnsi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eastAsiaTheme="minorHAnsi"/>
        </w:rPr>
        <w:t>дств дл</w:t>
      </w:r>
      <w:proofErr w:type="gramEnd"/>
      <w:r>
        <w:rPr>
          <w:rFonts w:eastAsiaTheme="minorHAnsi"/>
        </w:rPr>
        <w:t>я обеспечения выполнения возложенных функций; прочие причины (указать какие).</w:t>
      </w:r>
      <w:r>
        <w:t xml:space="preserve"> </w:t>
      </w:r>
      <w:r>
        <w:rPr>
          <w:rFonts w:eastAsiaTheme="minorHAnsi"/>
        </w:rPr>
        <w:t>Перечень причин отклонений от планового процента исполнения и их кодов для раскрытия информации в Сведениях должен быть  установлен финансовым органом.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 xml:space="preserve">В нарушение </w:t>
      </w:r>
      <w:hyperlink r:id="rId16" w:history="1">
        <w:r w:rsidRPr="00DE6CAC">
          <w:rPr>
            <w:rStyle w:val="a3"/>
            <w:color w:val="auto"/>
            <w:u w:val="none"/>
          </w:rPr>
          <w:t>п. 172</w:t>
        </w:r>
      </w:hyperlink>
      <w:r w:rsidRPr="00DE6CAC">
        <w:t xml:space="preserve"> Инструкции № 191н в таблице пояснительной записки </w:t>
      </w:r>
      <w:hyperlink r:id="rId17" w:history="1">
        <w:r w:rsidRPr="00DE6CAC">
          <w:rPr>
            <w:rStyle w:val="a3"/>
            <w:color w:val="auto"/>
            <w:u w:val="none"/>
          </w:rPr>
          <w:t>формы 0503177</w:t>
        </w:r>
      </w:hyperlink>
      <w:r w:rsidRPr="00DE6CAC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 xml:space="preserve">Как следует из положений данного </w:t>
      </w:r>
      <w:hyperlink r:id="rId18" w:history="1">
        <w:r w:rsidRPr="00DE6CAC">
          <w:rPr>
            <w:rStyle w:val="a3"/>
            <w:color w:val="auto"/>
            <w:u w:val="none"/>
          </w:rPr>
          <w:t>пункта</w:t>
        </w:r>
      </w:hyperlink>
      <w:r w:rsidRPr="00DE6CAC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проектированием прикладных систем и информационно-коммуникационной инфраструктуры;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разработкой (доработкой) программного обеспечения;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капитальными вложениями в объекты информационно-коммуникационной инфраструктуры;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приобретением оборудования и предустановленного программного обеспечения;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приобретением неисключительных прав на программное обеспечение;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услугами по аренде оборудования;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с подключением (обеспечением доступа) к внешним информационным ресурсам;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эксплуатационными расходами на информационно-коммуникационные технологии;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обучением сотрудников в области информационно-коммуникационных технологий;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- прочими расходами в области информационно-коммуникационных технологий.</w:t>
      </w:r>
    </w:p>
    <w:p w:rsidR="00DE400F" w:rsidRPr="00DE6CAC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 w:rsidRPr="00DE6CAC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DE400F" w:rsidRDefault="00DE400F" w:rsidP="00DE400F">
      <w:pPr>
        <w:ind w:firstLine="709"/>
        <w:jc w:val="both"/>
        <w:rPr>
          <w:color w:val="000000"/>
        </w:rPr>
      </w:pPr>
      <w:r w:rsidRPr="00DE6CAC">
        <w:rPr>
          <w:lang w:eastAsia="ar-SA"/>
        </w:rPr>
        <w:t xml:space="preserve">Недостатки в отчетности и несоответствия с Инструкцией № 191н,  не изменяют основные характеристики исполнения бюджета </w:t>
      </w:r>
      <w:proofErr w:type="spellStart"/>
      <w:r w:rsidRPr="00DE6CAC">
        <w:rPr>
          <w:lang w:eastAsia="ar-SA"/>
        </w:rPr>
        <w:t>Богашевс</w:t>
      </w:r>
      <w:r w:rsidR="00DE6CAC" w:rsidRPr="00DE6CAC">
        <w:rPr>
          <w:lang w:eastAsia="ar-SA"/>
        </w:rPr>
        <w:t>кого</w:t>
      </w:r>
      <w:proofErr w:type="spellEnd"/>
      <w:r w:rsidR="00DE6CAC" w:rsidRPr="00DE6CAC">
        <w:rPr>
          <w:lang w:eastAsia="ar-SA"/>
        </w:rPr>
        <w:t xml:space="preserve"> сельского поселения за 2017</w:t>
      </w:r>
      <w:r w:rsidRPr="00DE6CAC">
        <w:rPr>
          <w:lang w:eastAsia="ar-SA"/>
        </w:rPr>
        <w:t xml:space="preserve"> год, поэтому дальнейший анализ будет проведен с учетом уже указанных выше замечаний. Администрации сельского поселения необходимо </w:t>
      </w:r>
      <w:r w:rsidRPr="00DE6CAC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</w:t>
      </w:r>
      <w:r w:rsidR="00DE6CAC" w:rsidRPr="00DE6CAC">
        <w:rPr>
          <w:color w:val="000000"/>
        </w:rPr>
        <w:t xml:space="preserve">елей бюджетных средств  за 2018 </w:t>
      </w:r>
      <w:r w:rsidRPr="00DE6CAC">
        <w:rPr>
          <w:color w:val="000000"/>
        </w:rPr>
        <w:t>год.</w:t>
      </w:r>
    </w:p>
    <w:p w:rsidR="001709B8" w:rsidRDefault="001709B8" w:rsidP="00DE400F">
      <w:pPr>
        <w:ind w:firstLine="709"/>
        <w:jc w:val="both"/>
        <w:rPr>
          <w:color w:val="000000"/>
        </w:rPr>
      </w:pPr>
    </w:p>
    <w:p w:rsidR="00DE6CAC" w:rsidRDefault="00DE6CAC" w:rsidP="00DE400F">
      <w:pPr>
        <w:ind w:firstLine="709"/>
        <w:jc w:val="both"/>
        <w:rPr>
          <w:color w:val="000000"/>
        </w:rPr>
      </w:pPr>
    </w:p>
    <w:p w:rsidR="00DE400F" w:rsidRDefault="00DE400F" w:rsidP="00DE400F">
      <w:pPr>
        <w:ind w:firstLine="709"/>
        <w:jc w:val="both"/>
        <w:rPr>
          <w:color w:val="000000"/>
        </w:rPr>
      </w:pPr>
    </w:p>
    <w:p w:rsidR="00DE400F" w:rsidRDefault="00DE400F" w:rsidP="00DE400F">
      <w:pPr>
        <w:jc w:val="center"/>
        <w:rPr>
          <w:b/>
        </w:rPr>
      </w:pPr>
      <w:r>
        <w:rPr>
          <w:b/>
        </w:rPr>
        <w:lastRenderedPageBreak/>
        <w:t xml:space="preserve">4. Организация бюджетного процесса в </w:t>
      </w:r>
      <w:proofErr w:type="spellStart"/>
      <w:r w:rsidRPr="001074D8">
        <w:rPr>
          <w:b/>
        </w:rPr>
        <w:t>Богашевском</w:t>
      </w:r>
      <w:proofErr w:type="spellEnd"/>
      <w:r w:rsidRPr="001074D8">
        <w:t xml:space="preserve"> </w:t>
      </w:r>
      <w:r>
        <w:rPr>
          <w:b/>
        </w:rPr>
        <w:t>сельском поселении.</w:t>
      </w:r>
    </w:p>
    <w:p w:rsidR="00DE400F" w:rsidRDefault="00DE400F" w:rsidP="00DE400F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 от 05.12.2013г. № 56                              утверждено Положение «О бюджетном процессе муниципального образования «</w:t>
      </w:r>
      <w:proofErr w:type="spellStart"/>
      <w:r>
        <w:t>Богашевское</w:t>
      </w:r>
      <w:proofErr w:type="spellEnd"/>
      <w:r>
        <w:t xml:space="preserve"> сельское поселение», в к</w:t>
      </w:r>
      <w:r w:rsidR="004A3C22">
        <w:t>оторое были внесены изменения 01.06.2017</w:t>
      </w:r>
      <w:r>
        <w:t>г</w:t>
      </w:r>
      <w:r w:rsidR="004A3C22">
        <w:t xml:space="preserve"> решением  Совета поселения № 18</w:t>
      </w:r>
      <w:r>
        <w:t xml:space="preserve">. 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</w:t>
      </w:r>
      <w:r w:rsidR="004A3C22">
        <w:rPr>
          <w:rFonts w:ascii="Times New Roman CYR" w:hAnsi="Times New Roman CYR" w:cs="Times New Roman CYR"/>
        </w:rPr>
        <w:t>жета сельского поселения на 2017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</w:t>
      </w:r>
      <w:r w:rsidR="004A3C22">
        <w:rPr>
          <w:rFonts w:ascii="Times New Roman CYR" w:hAnsi="Times New Roman CYR" w:cs="Times New Roman CYR"/>
        </w:rPr>
        <w:t>Совета  сельского поселения от 30.12.2016г. № 30 «О бюджете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Богашевс</w:t>
      </w:r>
      <w:r w:rsidR="004A3C22">
        <w:rPr>
          <w:rFonts w:ascii="Times New Roman CYR" w:hAnsi="Times New Roman CYR" w:cs="Times New Roman CYR"/>
        </w:rPr>
        <w:t>кого</w:t>
      </w:r>
      <w:proofErr w:type="spellEnd"/>
      <w:r w:rsidR="004A3C22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</w:t>
      </w:r>
    </w:p>
    <w:p w:rsidR="00DE400F" w:rsidRDefault="00DE400F" w:rsidP="00DE6CAC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Распоряжением Главы </w:t>
      </w:r>
      <w:proofErr w:type="spellStart"/>
      <w:r>
        <w:t>Богашевского</w:t>
      </w:r>
      <w:proofErr w:type="spellEnd"/>
      <w:r>
        <w:t xml:space="preserve"> сельского поселения № 4а от 11.01.2010г. утвержден Порядок составления и ведения сводной бюджетной росписи бюджета </w:t>
      </w:r>
      <w:proofErr w:type="spellStart"/>
      <w:r>
        <w:t>Богашевского</w:t>
      </w:r>
      <w:proofErr w:type="spellEnd"/>
      <w:r>
        <w:t xml:space="preserve"> сельского поселения и бюджетных росписей главных распорядителей  средств бюджета </w:t>
      </w:r>
      <w:proofErr w:type="spellStart"/>
      <w:r>
        <w:t>Богашевского</w:t>
      </w:r>
      <w:proofErr w:type="spellEnd"/>
      <w:r>
        <w:t xml:space="preserve"> сельского поселения. </w:t>
      </w:r>
    </w:p>
    <w:p w:rsidR="004A3C22" w:rsidRDefault="00DE400F" w:rsidP="00A879CD">
      <w:pPr>
        <w:spacing w:line="0" w:lineRule="atLeast"/>
        <w:ind w:firstLine="709"/>
        <w:jc w:val="both"/>
      </w:pPr>
      <w:r>
        <w:t xml:space="preserve">В ходе исполнения решения Совета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 w:rsidR="004A3C22">
        <w:t xml:space="preserve"> сельского поселения  от 30.12.2016г. № 30  "О  бюджете</w:t>
      </w:r>
      <w:r>
        <w:t xml:space="preserve">  </w:t>
      </w:r>
      <w:proofErr w:type="spellStart"/>
      <w:r>
        <w:t>Богашевс</w:t>
      </w:r>
      <w:r w:rsidR="004A3C22">
        <w:t>кого</w:t>
      </w:r>
      <w:proofErr w:type="spellEnd"/>
      <w:r w:rsidR="004A3C22">
        <w:t xml:space="preserve"> сельского поселения на 2017</w:t>
      </w:r>
      <w:r>
        <w:t xml:space="preserve"> год" (далее – Решение) в него вносились изменения </w:t>
      </w:r>
      <w:r w:rsidR="00F75F59" w:rsidRPr="00F75F59">
        <w:t>5</w:t>
      </w:r>
      <w:r w:rsidRPr="00F75F59">
        <w:t xml:space="preserve"> раз.</w:t>
      </w:r>
      <w:r>
        <w:t xml:space="preserve"> </w:t>
      </w:r>
      <w:r w:rsidR="00A879CD"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DE400F" w:rsidRDefault="00DE400F" w:rsidP="00DE400F">
      <w:pPr>
        <w:ind w:firstLine="709"/>
        <w:jc w:val="both"/>
      </w:pPr>
      <w:r>
        <w:t xml:space="preserve">При подготовке проектов решений о внесении изменений в бюджет поселения необходимо учитывать, что они вносятся в первоначально принятое решение о бюджете. Формулировка названия «О внесении изменений и дополнений в решение Совета  «О внесении изменений и дополнений в решение Совета </w:t>
      </w:r>
      <w:proofErr w:type="spellStart"/>
      <w:r>
        <w:t>Богаш</w:t>
      </w:r>
      <w:r w:rsidR="00D40428">
        <w:t>евского</w:t>
      </w:r>
      <w:proofErr w:type="spellEnd"/>
      <w:r w:rsidR="00D40428">
        <w:t xml:space="preserve"> сельского поселения от 30.12.2016</w:t>
      </w:r>
      <w:r>
        <w:t xml:space="preserve"> г. </w:t>
      </w:r>
      <w:r w:rsidR="00D40428">
        <w:t>№ 30</w:t>
      </w:r>
      <w:r>
        <w:t xml:space="preserve"> «О  бюджете  </w:t>
      </w:r>
      <w:proofErr w:type="spellStart"/>
      <w:r>
        <w:t>Богашевс</w:t>
      </w:r>
      <w:r w:rsidR="00D40428">
        <w:t>кого</w:t>
      </w:r>
      <w:proofErr w:type="spellEnd"/>
      <w:r w:rsidR="00D40428">
        <w:t xml:space="preserve"> сельского поселения на 2017</w:t>
      </w:r>
      <w:r>
        <w:t xml:space="preserve"> год» не является верной. Нужно было писать «О внесении изменений и дополнений в решение Совета </w:t>
      </w:r>
      <w:proofErr w:type="spellStart"/>
      <w:r>
        <w:t>Богаше</w:t>
      </w:r>
      <w:r w:rsidR="00D40428">
        <w:t>вского</w:t>
      </w:r>
      <w:proofErr w:type="spellEnd"/>
      <w:r w:rsidR="00D40428">
        <w:t xml:space="preserve"> сельского поселения  от 30.12.2016г № 30  «О бюджете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r w:rsidR="00D40428">
        <w:rPr>
          <w:rFonts w:ascii="Times New Roman CYR" w:hAnsi="Times New Roman CYR" w:cs="Times New Roman CYR"/>
        </w:rPr>
        <w:t>поселения на 2017</w:t>
      </w:r>
      <w:r>
        <w:rPr>
          <w:rFonts w:ascii="Times New Roman CYR" w:hAnsi="Times New Roman CYR" w:cs="Times New Roman CYR"/>
        </w:rPr>
        <w:t xml:space="preserve"> год».</w:t>
      </w:r>
      <w:r w:rsidR="00D40428">
        <w:rPr>
          <w:rFonts w:ascii="Times New Roman CYR" w:hAnsi="Times New Roman CYR" w:cs="Times New Roman CYR"/>
        </w:rPr>
        <w:t xml:space="preserve"> Это замечание было сделано в заключени</w:t>
      </w:r>
      <w:proofErr w:type="gramStart"/>
      <w:r w:rsidR="00D40428">
        <w:rPr>
          <w:rFonts w:ascii="Times New Roman CYR" w:hAnsi="Times New Roman CYR" w:cs="Times New Roman CYR"/>
        </w:rPr>
        <w:t>и</w:t>
      </w:r>
      <w:proofErr w:type="gramEnd"/>
      <w:r w:rsidR="00D40428">
        <w:rPr>
          <w:rFonts w:ascii="Times New Roman CYR" w:hAnsi="Times New Roman CYR" w:cs="Times New Roman CYR"/>
        </w:rPr>
        <w:t xml:space="preserve"> по внешней проверке отчета об исполнении бюджета за 2016 год, но не было учтено.</w:t>
      </w:r>
    </w:p>
    <w:p w:rsidR="00DE400F" w:rsidRDefault="00DE400F" w:rsidP="00DE400F">
      <w:pPr>
        <w:jc w:val="both"/>
        <w:rPr>
          <w:rFonts w:ascii="Times New Roman CYR" w:hAnsi="Times New Roman CYR" w:cs="Times New Roman CYR"/>
        </w:rPr>
      </w:pPr>
    </w:p>
    <w:p w:rsidR="00DE400F" w:rsidRPr="001074D8" w:rsidRDefault="00DE400F" w:rsidP="00DE400F">
      <w:pPr>
        <w:pStyle w:val="a8"/>
        <w:numPr>
          <w:ilvl w:val="0"/>
          <w:numId w:val="2"/>
        </w:numPr>
        <w:jc w:val="center"/>
        <w:rPr>
          <w:b/>
          <w:bCs/>
        </w:rPr>
      </w:pPr>
      <w:r w:rsidRPr="001074D8">
        <w:rPr>
          <w:b/>
          <w:bCs/>
        </w:rPr>
        <w:t>Исполнения бюджета по доходам.</w:t>
      </w:r>
    </w:p>
    <w:p w:rsidR="001709B8" w:rsidRDefault="001709B8" w:rsidP="001709B8">
      <w:pPr>
        <w:pStyle w:val="a8"/>
        <w:ind w:left="1069"/>
        <w:rPr>
          <w:rFonts w:ascii="Times New Roman CYR" w:hAnsi="Times New Roman CYR" w:cs="Times New Roman CYR"/>
          <w:b/>
          <w:bCs/>
        </w:rPr>
      </w:pPr>
    </w:p>
    <w:p w:rsidR="001709B8" w:rsidRDefault="001709B8" w:rsidP="001709B8">
      <w:pPr>
        <w:ind w:firstLine="709"/>
        <w:jc w:val="both"/>
      </w:pPr>
      <w:r>
        <w:t xml:space="preserve">Решением Совета </w:t>
      </w:r>
      <w:proofErr w:type="spellStart"/>
      <w:r>
        <w:t>Богашевского</w:t>
      </w:r>
      <w:proofErr w:type="spellEnd"/>
      <w:r>
        <w:t xml:space="preserve"> сельского поселения от 30.12.2016 № 30 утвержден перечень главных администраторов доходов бюджета на 2017 год</w:t>
      </w:r>
      <w:r>
        <w:rPr>
          <w:bCs/>
          <w:iCs/>
        </w:rPr>
        <w:t xml:space="preserve"> в соответствии с требованием </w:t>
      </w:r>
      <w:r>
        <w:t xml:space="preserve">пункта 2 статьи 20 Бюджетного кодекса РФ. За Администрацией </w:t>
      </w:r>
      <w:proofErr w:type="spellStart"/>
      <w:r>
        <w:t>Богашевского</w:t>
      </w:r>
      <w:proofErr w:type="spellEnd"/>
      <w: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DE400F" w:rsidRDefault="00DE400F" w:rsidP="00DE400F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A879CD">
        <w:rPr>
          <w:rFonts w:cs="Calibri"/>
          <w:lang w:eastAsia="ar-SA"/>
        </w:rPr>
        <w:t xml:space="preserve"> части бюджета поселения на 2017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DE400F" w:rsidRPr="001074D8" w:rsidRDefault="00DE400F" w:rsidP="00DE400F">
      <w:pPr>
        <w:ind w:firstLine="709"/>
        <w:jc w:val="both"/>
      </w:pPr>
      <w:proofErr w:type="gramStart"/>
      <w:r w:rsidRPr="001074D8">
        <w:t xml:space="preserve">Общий объем доходов бюджета  сельского поселения  был утвержден в сумме </w:t>
      </w:r>
      <w:r w:rsidR="00A879CD" w:rsidRPr="001074D8">
        <w:rPr>
          <w:b/>
        </w:rPr>
        <w:t>31263,0</w:t>
      </w:r>
      <w:r w:rsidR="00A879CD" w:rsidRPr="001074D8">
        <w:t xml:space="preserve"> тыс. руб.,  в течение  2017</w:t>
      </w:r>
      <w:r w:rsidRPr="001074D8">
        <w:t xml:space="preserve"> года был увеличен на  </w:t>
      </w:r>
      <w:r w:rsidR="00A879CD" w:rsidRPr="001074D8">
        <w:rPr>
          <w:b/>
        </w:rPr>
        <w:t>13277,1</w:t>
      </w:r>
      <w:r w:rsidRPr="001074D8">
        <w:t xml:space="preserve"> тыс. руб.  или на </w:t>
      </w:r>
      <w:r w:rsidR="00A879CD" w:rsidRPr="001074D8">
        <w:rPr>
          <w:b/>
        </w:rPr>
        <w:t>42,5</w:t>
      </w:r>
      <w:r w:rsidRPr="001074D8">
        <w:rPr>
          <w:b/>
        </w:rPr>
        <w:t>%</w:t>
      </w:r>
      <w:r w:rsidRPr="001074D8">
        <w:t xml:space="preserve"> и составил </w:t>
      </w:r>
      <w:r w:rsidR="00A879CD" w:rsidRPr="001074D8">
        <w:rPr>
          <w:b/>
        </w:rPr>
        <w:t>44540,1</w:t>
      </w:r>
      <w:r w:rsidRPr="001074D8">
        <w:t xml:space="preserve"> тыс. руб.. Фактическое исполнение доходной части бюджета  от плановых показателей, утвержденных последней редакцией бюджета  сельского поселения, составило  </w:t>
      </w:r>
      <w:r w:rsidR="00A879CD" w:rsidRPr="001074D8">
        <w:rPr>
          <w:b/>
        </w:rPr>
        <w:t>97,9</w:t>
      </w:r>
      <w:r w:rsidRPr="001074D8">
        <w:rPr>
          <w:b/>
        </w:rPr>
        <w:t xml:space="preserve"> %</w:t>
      </w:r>
      <w:r w:rsidRPr="001074D8">
        <w:t xml:space="preserve">, что в сумме составляет </w:t>
      </w:r>
      <w:r w:rsidRPr="001074D8">
        <w:rPr>
          <w:b/>
        </w:rPr>
        <w:t xml:space="preserve"> </w:t>
      </w:r>
      <w:r w:rsidR="00A879CD" w:rsidRPr="001074D8">
        <w:rPr>
          <w:b/>
          <w:lang w:eastAsia="en-US"/>
        </w:rPr>
        <w:t>43596,5</w:t>
      </w:r>
      <w:r w:rsidRPr="001074D8">
        <w:t xml:space="preserve"> тыс. руб.</w:t>
      </w:r>
      <w:proofErr w:type="gramEnd"/>
    </w:p>
    <w:p w:rsidR="00DE400F" w:rsidRPr="001074D8" w:rsidRDefault="00DE400F" w:rsidP="00DE400F">
      <w:pPr>
        <w:ind w:firstLine="709"/>
        <w:jc w:val="both"/>
        <w:rPr>
          <w:bCs/>
        </w:rPr>
      </w:pPr>
      <w:r w:rsidRPr="001074D8">
        <w:rPr>
          <w:bCs/>
        </w:rPr>
        <w:t xml:space="preserve">Исполнение доходов бюджета </w:t>
      </w:r>
      <w:proofErr w:type="spellStart"/>
      <w:r w:rsidRPr="001074D8">
        <w:t>Богашевского</w:t>
      </w:r>
      <w:proofErr w:type="spellEnd"/>
      <w:r w:rsidRPr="001074D8">
        <w:rPr>
          <w:bCs/>
        </w:rPr>
        <w:t xml:space="preserve"> сельского поселения</w:t>
      </w:r>
      <w:r w:rsidRPr="001074D8">
        <w:t xml:space="preserve"> </w:t>
      </w:r>
      <w:r w:rsidRPr="001074D8">
        <w:rPr>
          <w:bCs/>
        </w:rPr>
        <w:t xml:space="preserve">за </w:t>
      </w:r>
      <w:r w:rsidR="00A879CD" w:rsidRPr="001074D8">
        <w:rPr>
          <w:bCs/>
        </w:rPr>
        <w:t>2017</w:t>
      </w:r>
      <w:r w:rsidRPr="001074D8">
        <w:rPr>
          <w:bCs/>
        </w:rPr>
        <w:t xml:space="preserve"> год    представлено в таблице 2.</w:t>
      </w:r>
    </w:p>
    <w:p w:rsidR="001709B8" w:rsidRDefault="001709B8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DE400F" w:rsidRDefault="00DE400F" w:rsidP="00DE400F">
      <w:r>
        <w:t>Таблица 2                                                                                                                          тыс. руб.</w:t>
      </w:r>
    </w:p>
    <w:p w:rsidR="00DE400F" w:rsidRDefault="00DE400F" w:rsidP="00DE400F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549"/>
        <w:gridCol w:w="1414"/>
        <w:gridCol w:w="1135"/>
        <w:gridCol w:w="1276"/>
      </w:tblGrid>
      <w:tr w:rsidR="00DE400F" w:rsidTr="002D2FA5">
        <w:trPr>
          <w:cantSplit/>
          <w:trHeight w:val="3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Утвержден-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98,7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8B7E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8B7E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97,6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139,4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131,6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92,4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8B7E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8B7E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123,1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127,8</w:t>
            </w:r>
          </w:p>
        </w:tc>
      </w:tr>
      <w:tr w:rsidR="00DE400F" w:rsidTr="002D2FA5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11700000000000000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92,4</w:t>
            </w:r>
          </w:p>
        </w:tc>
      </w:tr>
      <w:tr w:rsidR="00DE400F" w:rsidTr="002D2FA5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26085,3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2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97,3</w:t>
            </w:r>
          </w:p>
        </w:tc>
      </w:tr>
      <w:tr w:rsidR="00DE400F" w:rsidTr="002D2FA5">
        <w:trPr>
          <w:cantSplit/>
          <w:trHeight w:val="3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DE400F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A87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44540,1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A87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A87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97,9</w:t>
            </w:r>
          </w:p>
        </w:tc>
      </w:tr>
    </w:tbl>
    <w:p w:rsidR="00DE400F" w:rsidRDefault="00DE400F" w:rsidP="00DE400F">
      <w:pPr>
        <w:rPr>
          <w:rFonts w:ascii="Times New Roman CYR" w:hAnsi="Times New Roman CYR" w:cs="Times New Roman CYR"/>
          <w:sz w:val="20"/>
          <w:szCs w:val="20"/>
        </w:rPr>
      </w:pP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 xml:space="preserve">Основным источником формирования доходов явился </w:t>
      </w:r>
      <w:r w:rsidR="005F6FD2">
        <w:rPr>
          <w:rFonts w:ascii="Times New Roman CYR" w:hAnsi="Times New Roman CYR" w:cs="Times New Roman CYR"/>
        </w:rPr>
        <w:t xml:space="preserve">налог  на доходы физических лиц </w:t>
      </w:r>
      <w:r>
        <w:rPr>
          <w:rFonts w:ascii="Times New Roman CYR" w:hAnsi="Times New Roman CYR" w:cs="Times New Roman CYR"/>
        </w:rPr>
        <w:t xml:space="preserve">в сумме  </w:t>
      </w:r>
      <w:r w:rsidR="005F6FD2">
        <w:rPr>
          <w:rFonts w:ascii="Times New Roman CYR" w:hAnsi="Times New Roman CYR" w:cs="Times New Roman CYR"/>
        </w:rPr>
        <w:t xml:space="preserve">7030,0 </w:t>
      </w:r>
      <w:r>
        <w:rPr>
          <w:rFonts w:ascii="Times New Roman CYR" w:hAnsi="Times New Roman CYR" w:cs="Times New Roman CYR"/>
        </w:rPr>
        <w:t>тыс. рублей, что составило</w:t>
      </w:r>
      <w:r w:rsidR="005F6FD2">
        <w:rPr>
          <w:rFonts w:ascii="Times New Roman CYR" w:hAnsi="Times New Roman CYR" w:cs="Times New Roman CYR"/>
        </w:rPr>
        <w:t xml:space="preserve"> 103,4% к плану. Доля </w:t>
      </w:r>
      <w:r>
        <w:rPr>
          <w:rFonts w:ascii="Times New Roman CYR" w:hAnsi="Times New Roman CYR" w:cs="Times New Roman CYR"/>
        </w:rPr>
        <w:t xml:space="preserve"> налога </w:t>
      </w:r>
      <w:r w:rsidR="005F6FD2">
        <w:rPr>
          <w:rFonts w:ascii="Times New Roman CYR" w:hAnsi="Times New Roman CYR" w:cs="Times New Roman CYR"/>
        </w:rPr>
        <w:t xml:space="preserve">на доходы физических лиц </w:t>
      </w:r>
      <w:r>
        <w:rPr>
          <w:rFonts w:ascii="Times New Roman CYR" w:hAnsi="Times New Roman CYR" w:cs="Times New Roman CYR"/>
        </w:rPr>
        <w:t>в объеме налоговых и не</w:t>
      </w:r>
      <w:r w:rsidR="005F6FD2">
        <w:rPr>
          <w:rFonts w:ascii="Times New Roman CYR" w:hAnsi="Times New Roman CYR" w:cs="Times New Roman CYR"/>
        </w:rPr>
        <w:t>налоговых доходов составила 40,1</w:t>
      </w:r>
      <w:r>
        <w:rPr>
          <w:rFonts w:ascii="Times New Roman CYR" w:hAnsi="Times New Roman CYR" w:cs="Times New Roman CYR"/>
        </w:rPr>
        <w:t xml:space="preserve">%. Далее идет </w:t>
      </w:r>
      <w:r w:rsidR="005F6FD2">
        <w:rPr>
          <w:rFonts w:ascii="Times New Roman CYR" w:hAnsi="Times New Roman CYR" w:cs="Times New Roman CYR"/>
        </w:rPr>
        <w:t xml:space="preserve">земельный налог  </w:t>
      </w:r>
      <w:r>
        <w:rPr>
          <w:rFonts w:ascii="Times New Roman CYR" w:hAnsi="Times New Roman CYR" w:cs="Times New Roman CYR"/>
        </w:rPr>
        <w:t xml:space="preserve">в сумме  </w:t>
      </w:r>
      <w:r w:rsidR="005F6FD2">
        <w:rPr>
          <w:lang w:eastAsia="en-US"/>
        </w:rPr>
        <w:t>6839,5</w:t>
      </w:r>
      <w:r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руб., что соста</w:t>
      </w:r>
      <w:r w:rsidR="005F6FD2">
        <w:rPr>
          <w:rFonts w:ascii="Times New Roman CYR" w:hAnsi="Times New Roman CYR" w:cs="Times New Roman CYR"/>
        </w:rPr>
        <w:t xml:space="preserve">вило 92,4% к плану. Доля </w:t>
      </w:r>
      <w:r>
        <w:rPr>
          <w:rFonts w:ascii="Times New Roman CYR" w:hAnsi="Times New Roman CYR" w:cs="Times New Roman CYR"/>
        </w:rPr>
        <w:t xml:space="preserve"> </w:t>
      </w:r>
      <w:r w:rsidR="005F6FD2">
        <w:rPr>
          <w:rFonts w:ascii="Times New Roman CYR" w:hAnsi="Times New Roman CYR" w:cs="Times New Roman CYR"/>
        </w:rPr>
        <w:t xml:space="preserve">земельного налога </w:t>
      </w:r>
      <w:r>
        <w:rPr>
          <w:rFonts w:ascii="Times New Roman CYR" w:hAnsi="Times New Roman CYR" w:cs="Times New Roman CYR"/>
        </w:rPr>
        <w:t xml:space="preserve"> в объеме налоговых и не</w:t>
      </w:r>
      <w:r w:rsidR="005F6FD2">
        <w:rPr>
          <w:rFonts w:ascii="Times New Roman CYR" w:hAnsi="Times New Roman CYR" w:cs="Times New Roman CYR"/>
        </w:rPr>
        <w:t>налоговых доходов составила 39,1</w:t>
      </w:r>
      <w:r>
        <w:rPr>
          <w:rFonts w:ascii="Times New Roman CYR" w:hAnsi="Times New Roman CYR" w:cs="Times New Roman CYR"/>
        </w:rPr>
        <w:t xml:space="preserve">%. Акцизы по </w:t>
      </w:r>
      <w:proofErr w:type="gramStart"/>
      <w:r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 составили</w:t>
      </w:r>
      <w:proofErr w:type="gramEnd"/>
      <w:r>
        <w:rPr>
          <w:rFonts w:ascii="Times New Roman CYR" w:hAnsi="Times New Roman CYR" w:cs="Times New Roman CYR"/>
        </w:rPr>
        <w:t xml:space="preserve"> в сумме </w:t>
      </w:r>
      <w:r w:rsidR="005F6FD2">
        <w:rPr>
          <w:lang w:eastAsia="en-US"/>
        </w:rPr>
        <w:t>1943,3</w:t>
      </w:r>
      <w:r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</w:t>
      </w:r>
      <w:r w:rsidR="005F6FD2">
        <w:rPr>
          <w:rFonts w:ascii="Times New Roman CYR" w:hAnsi="Times New Roman CYR" w:cs="Times New Roman CYR"/>
        </w:rPr>
        <w:t xml:space="preserve">. или </w:t>
      </w:r>
      <w:r w:rsidR="0097122C">
        <w:rPr>
          <w:rFonts w:ascii="Times New Roman CYR" w:hAnsi="Times New Roman CYR" w:cs="Times New Roman CYR"/>
        </w:rPr>
        <w:t>88,2</w:t>
      </w:r>
      <w:r>
        <w:rPr>
          <w:rFonts w:ascii="Times New Roman CYR" w:hAnsi="Times New Roman CYR" w:cs="Times New Roman CYR"/>
        </w:rPr>
        <w:t xml:space="preserve">% к плану. Доля акцизов по </w:t>
      </w:r>
      <w:proofErr w:type="gramStart"/>
      <w:r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 в объеме налоговых и не</w:t>
      </w:r>
      <w:r w:rsidR="0097122C">
        <w:rPr>
          <w:rFonts w:ascii="Times New Roman CYR" w:hAnsi="Times New Roman CYR" w:cs="Times New Roman CYR"/>
        </w:rPr>
        <w:t>налоговых доходов составила</w:t>
      </w:r>
      <w:proofErr w:type="gramEnd"/>
      <w:r w:rsidR="0097122C">
        <w:rPr>
          <w:rFonts w:ascii="Times New Roman CYR" w:hAnsi="Times New Roman CYR" w:cs="Times New Roman CYR"/>
        </w:rPr>
        <w:t xml:space="preserve"> 11,1</w:t>
      </w:r>
      <w:r>
        <w:rPr>
          <w:rFonts w:ascii="Times New Roman CYR" w:hAnsi="Times New Roman CYR" w:cs="Times New Roman CYR"/>
        </w:rPr>
        <w:t xml:space="preserve">%. </w:t>
      </w:r>
      <w:r>
        <w:rPr>
          <w:lang w:eastAsia="en-US"/>
        </w:rPr>
        <w:t>Доходы от использования имущества, находящегося в государственной и муниципальн</w:t>
      </w:r>
      <w:r w:rsidR="0097122C">
        <w:rPr>
          <w:lang w:eastAsia="en-US"/>
        </w:rPr>
        <w:t>ой собственности, в сумме  866,4</w:t>
      </w:r>
      <w:r>
        <w:rPr>
          <w:lang w:eastAsia="en-US"/>
        </w:rPr>
        <w:t xml:space="preserve"> тыс. руб. в объеме налоговых и нен</w:t>
      </w:r>
      <w:r w:rsidR="0097122C">
        <w:rPr>
          <w:lang w:eastAsia="en-US"/>
        </w:rPr>
        <w:t>алоговых доходов составляют  4,9</w:t>
      </w:r>
      <w:r>
        <w:rPr>
          <w:lang w:eastAsia="en-US"/>
        </w:rPr>
        <w:t>%.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структуре доходов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доля налоговых и ненал</w:t>
      </w:r>
      <w:r w:rsidR="0097122C">
        <w:rPr>
          <w:rFonts w:ascii="Times New Roman CYR" w:hAnsi="Times New Roman CYR" w:cs="Times New Roman CYR"/>
        </w:rPr>
        <w:t>оговых доходов составила    40,2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97122C">
        <w:rPr>
          <w:lang w:eastAsia="en-US"/>
        </w:rPr>
        <w:t>17511,2</w:t>
      </w:r>
      <w:r>
        <w:rPr>
          <w:rFonts w:ascii="Times New Roman CYR" w:hAnsi="Times New Roman CYR" w:cs="Times New Roman CYR"/>
        </w:rPr>
        <w:t xml:space="preserve"> тыс. руб.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97122C">
        <w:rPr>
          <w:rFonts w:ascii="Times New Roman CYR" w:hAnsi="Times New Roman CYR" w:cs="Times New Roman CYR"/>
        </w:rPr>
        <w:t>ые назначения выполнены на 97,6</w:t>
      </w:r>
      <w:r>
        <w:rPr>
          <w:rFonts w:ascii="Times New Roman CYR" w:hAnsi="Times New Roman CYR" w:cs="Times New Roman CYR"/>
        </w:rPr>
        <w:t>%.  Доля налоговых доходов в обще</w:t>
      </w:r>
      <w:r w:rsidR="0097122C">
        <w:rPr>
          <w:rFonts w:ascii="Times New Roman CYR" w:hAnsi="Times New Roman CYR" w:cs="Times New Roman CYR"/>
        </w:rPr>
        <w:t>м объеме доходов составила  38,0</w:t>
      </w:r>
      <w:r>
        <w:rPr>
          <w:rFonts w:ascii="Times New Roman CYR" w:hAnsi="Times New Roman CYR" w:cs="Times New Roman CYR"/>
        </w:rPr>
        <w:t xml:space="preserve">% или  </w:t>
      </w:r>
      <w:r w:rsidR="0097122C">
        <w:rPr>
          <w:lang w:eastAsia="en-US"/>
        </w:rPr>
        <w:t>16547,3</w:t>
      </w:r>
      <w: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97122C">
        <w:rPr>
          <w:rFonts w:ascii="Times New Roman CYR" w:hAnsi="Times New Roman CYR" w:cs="Times New Roman CYR"/>
        </w:rPr>
        <w:t>ые назначения выполнены на 123,1</w:t>
      </w:r>
      <w:r>
        <w:rPr>
          <w:rFonts w:ascii="Times New Roman CYR" w:hAnsi="Times New Roman CYR" w:cs="Times New Roman CYR"/>
        </w:rPr>
        <w:t>%. Доля неналоговых доходов в общ</w:t>
      </w:r>
      <w:r w:rsidR="0097122C">
        <w:rPr>
          <w:rFonts w:ascii="Times New Roman CYR" w:hAnsi="Times New Roman CYR" w:cs="Times New Roman CYR"/>
        </w:rPr>
        <w:t>ем объеме доходов составила  2,2</w:t>
      </w:r>
      <w:r>
        <w:rPr>
          <w:rFonts w:ascii="Times New Roman CYR" w:hAnsi="Times New Roman CYR" w:cs="Times New Roman CYR"/>
        </w:rPr>
        <w:t xml:space="preserve">% или   </w:t>
      </w:r>
      <w:r w:rsidR="0097122C">
        <w:rPr>
          <w:lang w:eastAsia="en-US"/>
        </w:rPr>
        <w:t>963,9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</w:t>
      </w:r>
      <w:r w:rsidR="0097122C">
        <w:rPr>
          <w:rFonts w:ascii="Times New Roman CYR" w:hAnsi="Times New Roman CYR" w:cs="Times New Roman CYR"/>
        </w:rPr>
        <w:t>ые поступления выполнены на 97,3% и составляют 59,8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="0097122C">
        <w:rPr>
          <w:lang w:eastAsia="en-US"/>
        </w:rPr>
        <w:t>26085,3</w:t>
      </w:r>
      <w:r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</w:p>
    <w:p w:rsidR="00DE400F" w:rsidRPr="001074D8" w:rsidRDefault="00DE400F" w:rsidP="00DE400F">
      <w:pPr>
        <w:jc w:val="center"/>
        <w:rPr>
          <w:b/>
        </w:rPr>
      </w:pPr>
      <w:r w:rsidRPr="001074D8">
        <w:rPr>
          <w:b/>
        </w:rPr>
        <w:t>6.  Исполнение бюджета по расходам.</w:t>
      </w:r>
    </w:p>
    <w:p w:rsidR="00DE400F" w:rsidRPr="001074D8" w:rsidRDefault="00DE400F" w:rsidP="00DE400F">
      <w:pPr>
        <w:ind w:firstLine="709"/>
        <w:jc w:val="both"/>
      </w:pPr>
      <w:r w:rsidRPr="001074D8">
        <w:t xml:space="preserve"> Общий объем расходов бюджета </w:t>
      </w:r>
      <w:proofErr w:type="spellStart"/>
      <w:r w:rsidRPr="001074D8">
        <w:t>Богашевского</w:t>
      </w:r>
      <w:proofErr w:type="spellEnd"/>
      <w:r w:rsidRPr="001074D8">
        <w:t xml:space="preserve"> сельского поселения  был утвержден в сумме  </w:t>
      </w:r>
      <w:r w:rsidR="0061036C" w:rsidRPr="001074D8">
        <w:rPr>
          <w:b/>
        </w:rPr>
        <w:t>31263,0</w:t>
      </w:r>
      <w:r w:rsidR="0061036C" w:rsidRPr="001074D8">
        <w:t xml:space="preserve">  тыс. руб.,  в течение  2017</w:t>
      </w:r>
      <w:r w:rsidRPr="001074D8">
        <w:t xml:space="preserve"> года был увеличен на  </w:t>
      </w:r>
      <w:r w:rsidR="0061036C" w:rsidRPr="001074D8">
        <w:rPr>
          <w:b/>
        </w:rPr>
        <w:t>16227,7</w:t>
      </w:r>
      <w:r w:rsidRPr="001074D8">
        <w:t xml:space="preserve"> тыс. руб., или на </w:t>
      </w:r>
      <w:r w:rsidR="0061036C" w:rsidRPr="001074D8">
        <w:rPr>
          <w:b/>
        </w:rPr>
        <w:t>51,9</w:t>
      </w:r>
      <w:r w:rsidRPr="001074D8">
        <w:rPr>
          <w:b/>
        </w:rPr>
        <w:t>%</w:t>
      </w:r>
      <w:r w:rsidRPr="001074D8">
        <w:t xml:space="preserve">  и составил  </w:t>
      </w:r>
      <w:r w:rsidR="0061036C" w:rsidRPr="001074D8">
        <w:rPr>
          <w:b/>
          <w:lang w:eastAsia="en-US"/>
        </w:rPr>
        <w:t>47490,7</w:t>
      </w:r>
      <w:r w:rsidRPr="001074D8">
        <w:rPr>
          <w:b/>
          <w:lang w:eastAsia="en-US"/>
        </w:rPr>
        <w:t xml:space="preserve"> </w:t>
      </w:r>
      <w:r w:rsidRPr="001074D8">
        <w:t xml:space="preserve">тыс. руб. Фактическое исполнение расходной части бюджета  от </w:t>
      </w:r>
      <w:r w:rsidRPr="001074D8">
        <w:lastRenderedPageBreak/>
        <w:t xml:space="preserve">плановых показателей, утвержденных последней редакцией бюджета  сельского поселения, составило </w:t>
      </w:r>
      <w:r w:rsidR="0061036C" w:rsidRPr="001074D8">
        <w:rPr>
          <w:b/>
        </w:rPr>
        <w:t>95,7</w:t>
      </w:r>
      <w:r w:rsidRPr="001074D8">
        <w:rPr>
          <w:b/>
        </w:rPr>
        <w:t>%</w:t>
      </w:r>
      <w:r w:rsidRPr="001074D8">
        <w:t xml:space="preserve">. </w:t>
      </w:r>
    </w:p>
    <w:p w:rsidR="00DE400F" w:rsidRPr="001074D8" w:rsidRDefault="00DE400F" w:rsidP="00DE400F">
      <w:pPr>
        <w:ind w:firstLine="709"/>
        <w:jc w:val="both"/>
        <w:rPr>
          <w:bCs/>
        </w:rPr>
      </w:pPr>
      <w:r w:rsidRPr="001074D8">
        <w:rPr>
          <w:bCs/>
        </w:rPr>
        <w:t xml:space="preserve">Исполнение расходов бюджета </w:t>
      </w:r>
      <w:proofErr w:type="spellStart"/>
      <w:r w:rsidRPr="001074D8">
        <w:t>Богашевского</w:t>
      </w:r>
      <w:proofErr w:type="spellEnd"/>
      <w:r w:rsidRPr="001074D8">
        <w:rPr>
          <w:bCs/>
        </w:rPr>
        <w:t xml:space="preserve"> сельского поселения</w:t>
      </w:r>
      <w:r w:rsidRPr="001074D8">
        <w:t xml:space="preserve"> </w:t>
      </w:r>
      <w:r w:rsidR="0061036C" w:rsidRPr="001074D8">
        <w:rPr>
          <w:bCs/>
        </w:rPr>
        <w:t>за 2017</w:t>
      </w:r>
      <w:r w:rsidRPr="001074D8">
        <w:rPr>
          <w:bCs/>
        </w:rPr>
        <w:t xml:space="preserve"> год по функциональной классификации   представлено в таблице 3 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            </w:t>
      </w:r>
    </w:p>
    <w:tbl>
      <w:tblPr>
        <w:tblStyle w:val="a9"/>
        <w:tblW w:w="10200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1133"/>
        <w:gridCol w:w="709"/>
        <w:gridCol w:w="1133"/>
        <w:gridCol w:w="709"/>
        <w:gridCol w:w="1133"/>
        <w:gridCol w:w="709"/>
        <w:gridCol w:w="849"/>
      </w:tblGrid>
      <w:tr w:rsidR="00536375" w:rsidTr="00536375">
        <w:trPr>
          <w:trHeight w:val="1"/>
        </w:trPr>
        <w:tc>
          <w:tcPr>
            <w:tcW w:w="2976" w:type="dxa"/>
            <w:vMerge w:val="restart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49" w:type="dxa"/>
            <w:vMerge w:val="restart"/>
            <w:hideMark/>
          </w:tcPr>
          <w:p w:rsidR="00536375" w:rsidRDefault="0053637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2" w:type="dxa"/>
            <w:gridSpan w:val="2"/>
            <w:hideMark/>
          </w:tcPr>
          <w:p w:rsidR="00536375" w:rsidRDefault="0053637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на</w:t>
            </w:r>
          </w:p>
          <w:p w:rsidR="00536375" w:rsidRDefault="0053637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год</w:t>
            </w:r>
          </w:p>
          <w:p w:rsidR="00536375" w:rsidRDefault="0053637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(решение Совета поселения № 30</w:t>
            </w:r>
            <w:proofErr w:type="gramEnd"/>
          </w:p>
          <w:p w:rsidR="00536375" w:rsidRDefault="00536375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30.12.2016г.)</w:t>
            </w:r>
          </w:p>
        </w:tc>
        <w:tc>
          <w:tcPr>
            <w:tcW w:w="1842" w:type="dxa"/>
            <w:gridSpan w:val="2"/>
            <w:hideMark/>
          </w:tcPr>
          <w:p w:rsidR="00536375" w:rsidRDefault="0053637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</w:t>
            </w:r>
          </w:p>
          <w:p w:rsidR="00536375" w:rsidRDefault="00E534CC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2017</w:t>
            </w:r>
            <w:r w:rsidR="00536375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536375" w:rsidRDefault="00536375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(решение Совета поселения №  14 от 26.12.2017г.)</w:t>
            </w:r>
          </w:p>
        </w:tc>
        <w:tc>
          <w:tcPr>
            <w:tcW w:w="1842" w:type="dxa"/>
            <w:gridSpan w:val="2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 исполнено за 2017 год</w:t>
            </w:r>
          </w:p>
        </w:tc>
        <w:tc>
          <w:tcPr>
            <w:tcW w:w="849" w:type="dxa"/>
            <w:vMerge w:val="restart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нения</w:t>
            </w:r>
          </w:p>
        </w:tc>
      </w:tr>
      <w:tr w:rsidR="00536375" w:rsidTr="00536375">
        <w:trPr>
          <w:trHeight w:val="426"/>
        </w:trPr>
        <w:tc>
          <w:tcPr>
            <w:tcW w:w="2976" w:type="dxa"/>
            <w:vMerge/>
            <w:hideMark/>
          </w:tcPr>
          <w:p w:rsidR="00536375" w:rsidRDefault="0053637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hideMark/>
          </w:tcPr>
          <w:p w:rsidR="00536375" w:rsidRDefault="0053637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536375" w:rsidRDefault="00536375">
            <w:pPr>
              <w:pStyle w:val="a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536375" w:rsidRDefault="0053637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3" w:type="dxa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</w:tcPr>
          <w:p w:rsidR="00536375" w:rsidRDefault="00536375">
            <w:pPr>
              <w:pStyle w:val="a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536375" w:rsidRDefault="0053637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536375" w:rsidRDefault="00536375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3" w:type="dxa"/>
            <w:hideMark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536375" w:rsidRDefault="0053637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  <w:tc>
          <w:tcPr>
            <w:tcW w:w="849" w:type="dxa"/>
            <w:vMerge/>
          </w:tcPr>
          <w:p w:rsidR="00536375" w:rsidRDefault="00536375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8990,7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133" w:type="dxa"/>
          </w:tcPr>
          <w:p w:rsidR="00DE400F" w:rsidRDefault="000E7E5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10773,3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22,7</w:t>
            </w:r>
          </w:p>
        </w:tc>
        <w:tc>
          <w:tcPr>
            <w:tcW w:w="1133" w:type="dxa"/>
          </w:tcPr>
          <w:p w:rsidR="00DE400F" w:rsidRDefault="000E7E5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10412,2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22,9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184,8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186,8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186,8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6752,4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8269,9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7957,5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17,5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</w:tr>
      <w:tr w:rsidR="00DE400F" w:rsidTr="00536375">
        <w:trPr>
          <w:trHeight w:val="477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2343,3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9565,9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8699,8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5713,7</w:t>
            </w:r>
          </w:p>
        </w:tc>
        <w:tc>
          <w:tcPr>
            <w:tcW w:w="70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10007,2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21,1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9996,8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DE400F" w:rsidTr="00536375">
        <w:trPr>
          <w:trHeight w:val="39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6734,0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21,5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7550,2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15,9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7550,2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443,1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972,4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472,4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</w:tr>
      <w:tr w:rsidR="00DE400F" w:rsidTr="00536375">
        <w:trPr>
          <w:trHeight w:val="1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 общего характера  бюджетам субъектов РФ и муниципальных образований      </w:t>
            </w:r>
          </w:p>
        </w:tc>
        <w:tc>
          <w:tcPr>
            <w:tcW w:w="849" w:type="dxa"/>
            <w:hideMark/>
          </w:tcPr>
          <w:p w:rsidR="00DE400F" w:rsidRDefault="00DE400F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3" w:type="dxa"/>
          </w:tcPr>
          <w:p w:rsidR="00DE400F" w:rsidRPr="00651B89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3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</w:tcPr>
          <w:p w:rsidR="00DE400F" w:rsidRDefault="00536375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49" w:type="dxa"/>
          </w:tcPr>
          <w:p w:rsidR="00DE400F" w:rsidRDefault="00651B8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E400F" w:rsidTr="00536375">
        <w:trPr>
          <w:trHeight w:val="365"/>
        </w:trPr>
        <w:tc>
          <w:tcPr>
            <w:tcW w:w="2976" w:type="dxa"/>
            <w:hideMark/>
          </w:tcPr>
          <w:p w:rsidR="00DE400F" w:rsidRDefault="00DE400F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9" w:type="dxa"/>
          </w:tcPr>
          <w:p w:rsidR="00DE400F" w:rsidRDefault="00DE400F">
            <w:pPr>
              <w:pStyle w:val="a7"/>
              <w:rPr>
                <w:b/>
                <w:lang w:eastAsia="en-US"/>
              </w:rPr>
            </w:pPr>
          </w:p>
        </w:tc>
        <w:tc>
          <w:tcPr>
            <w:tcW w:w="1133" w:type="dxa"/>
          </w:tcPr>
          <w:p w:rsidR="00DE400F" w:rsidRPr="00F64A47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31263,0</w:t>
            </w:r>
          </w:p>
        </w:tc>
        <w:tc>
          <w:tcPr>
            <w:tcW w:w="709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47490,7</w:t>
            </w:r>
          </w:p>
        </w:tc>
        <w:tc>
          <w:tcPr>
            <w:tcW w:w="709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45440,7</w:t>
            </w:r>
          </w:p>
        </w:tc>
        <w:tc>
          <w:tcPr>
            <w:tcW w:w="709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49" w:type="dxa"/>
          </w:tcPr>
          <w:p w:rsidR="00DE400F" w:rsidRDefault="00F64A47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95,7</w:t>
            </w:r>
          </w:p>
        </w:tc>
      </w:tr>
    </w:tbl>
    <w:p w:rsidR="00DE400F" w:rsidRDefault="00DE400F" w:rsidP="00DE400F">
      <w:pPr>
        <w:jc w:val="both"/>
        <w:rPr>
          <w:rFonts w:ascii="Times New Roman CYR" w:hAnsi="Times New Roman CYR" w:cs="Times New Roman CYR"/>
        </w:rPr>
      </w:pPr>
    </w:p>
    <w:p w:rsidR="00DE400F" w:rsidRDefault="00DE400F" w:rsidP="00DE400F">
      <w:pPr>
        <w:spacing w:line="25" w:lineRule="atLeast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классификации расходов изменены  8 показателей из 9.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t>Структ</w:t>
      </w:r>
      <w:r w:rsidR="00536375">
        <w:t>ура расходов по сравнению с 2016</w:t>
      </w:r>
      <w:r>
        <w:t xml:space="preserve"> годом не претерпела существенных изменений. </w:t>
      </w:r>
      <w:r>
        <w:rPr>
          <w:rFonts w:ascii="Times New Roman CYR" w:hAnsi="Times New Roman CYR" w:cs="Times New Roman CYR"/>
        </w:rPr>
        <w:t xml:space="preserve">Приоритетными направлениями расходования средств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</w:t>
      </w:r>
      <w:r w:rsidR="00536375">
        <w:rPr>
          <w:rFonts w:ascii="Times New Roman CYR" w:hAnsi="Times New Roman CYR" w:cs="Times New Roman CYR"/>
        </w:rPr>
        <w:t>селения в 2017</w:t>
      </w:r>
      <w:r>
        <w:rPr>
          <w:rFonts w:ascii="Times New Roman CYR" w:hAnsi="Times New Roman CYR" w:cs="Times New Roman CYR"/>
        </w:rPr>
        <w:t xml:space="preserve"> году являлись расходы на: о</w:t>
      </w:r>
      <w:r w:rsidR="00536375">
        <w:rPr>
          <w:rFonts w:ascii="Times New Roman CYR" w:hAnsi="Times New Roman CYR" w:cs="Times New Roman CYR"/>
        </w:rPr>
        <w:t>бщегосударственные вопросы  22,9</w:t>
      </w:r>
      <w:r>
        <w:rPr>
          <w:rFonts w:ascii="Times New Roman CYR" w:hAnsi="Times New Roman CYR" w:cs="Times New Roman CYR"/>
        </w:rPr>
        <w:t xml:space="preserve">%; жилищно-коммунальное хозяйство </w:t>
      </w:r>
      <w:r w:rsidR="00EE4C3D">
        <w:rPr>
          <w:rFonts w:ascii="Times New Roman CYR" w:hAnsi="Times New Roman CYR" w:cs="Times New Roman CYR"/>
        </w:rPr>
        <w:t>19,1</w:t>
      </w:r>
      <w:r>
        <w:rPr>
          <w:rFonts w:ascii="Times New Roman CYR" w:hAnsi="Times New Roman CYR" w:cs="Times New Roman CYR"/>
        </w:rPr>
        <w:t xml:space="preserve">%;  культуру </w:t>
      </w:r>
      <w:r w:rsidR="00EE4C3D">
        <w:rPr>
          <w:lang w:eastAsia="en-US"/>
        </w:rPr>
        <w:t>22,0</w:t>
      </w:r>
      <w:r w:rsidR="00EE4C3D">
        <w:rPr>
          <w:rFonts w:ascii="Times New Roman CYR" w:hAnsi="Times New Roman CYR" w:cs="Times New Roman CYR"/>
        </w:rPr>
        <w:t>%, национальную экономику 17,5</w:t>
      </w:r>
      <w:r>
        <w:rPr>
          <w:rFonts w:ascii="Times New Roman CYR" w:hAnsi="Times New Roman CYR" w:cs="Times New Roman CYR"/>
        </w:rPr>
        <w:t>%.</w:t>
      </w:r>
    </w:p>
    <w:p w:rsidR="00DE400F" w:rsidRDefault="00DE400F" w:rsidP="00DE400F">
      <w:pPr>
        <w:tabs>
          <w:tab w:val="left" w:pos="720"/>
        </w:tabs>
        <w:ind w:firstLine="720"/>
        <w:jc w:val="both"/>
      </w:pPr>
      <w:r>
        <w:t>Кассовые р</w:t>
      </w:r>
      <w:r w:rsidR="00EE4C3D">
        <w:t>асходы бюджета поселения за 2017 год составили 45440,7 тыс. рублей – 95</w:t>
      </w:r>
      <w:r>
        <w:t xml:space="preserve">,7% к плановым назначениям, </w:t>
      </w:r>
      <w:proofErr w:type="spellStart"/>
      <w:r>
        <w:t>недоисп</w:t>
      </w:r>
      <w:r w:rsidR="00EE4C3D">
        <w:t>олнение</w:t>
      </w:r>
      <w:proofErr w:type="spellEnd"/>
      <w:r w:rsidR="00EE4C3D">
        <w:t xml:space="preserve"> сложилось в сумме 2050,0  тыс. рублей (4,3</w:t>
      </w:r>
      <w:r>
        <w:t>%).</w:t>
      </w:r>
    </w:p>
    <w:p w:rsidR="00DE400F" w:rsidRDefault="00DE400F" w:rsidP="00DE400F">
      <w:pPr>
        <w:ind w:firstLine="709"/>
        <w:jc w:val="both"/>
      </w:pPr>
      <w:r>
        <w:t>Причины  неисполнения, в основном, обусловлены:  несвоевременным  предоставле</w:t>
      </w:r>
      <w:r w:rsidR="00EF3BFC">
        <w:t>нием платежных документов (274,0</w:t>
      </w:r>
      <w:r>
        <w:t xml:space="preserve"> тыс. руб.), экономией  по  результатам  проведения  торгов</w:t>
      </w:r>
      <w:r w:rsidR="00EF3BFC">
        <w:t xml:space="preserve"> (266,1 тыс. руб.)</w:t>
      </w:r>
      <w:r>
        <w:t>,  в  резуль</w:t>
      </w:r>
      <w:r w:rsidR="00EF3BFC">
        <w:t>тате  не  вступления в законную силу решения суда  (270,0</w:t>
      </w:r>
      <w:r>
        <w:t xml:space="preserve"> тыс. руб.)</w:t>
      </w:r>
      <w:r w:rsidR="00EF3BFC">
        <w:t>, отсутствием потребности (133,8</w:t>
      </w:r>
      <w:r>
        <w:t xml:space="preserve"> тыс. руб.)</w:t>
      </w:r>
      <w:proofErr w:type="gramStart"/>
      <w:r w:rsidR="00EF3BFC">
        <w:t>.</w:t>
      </w:r>
      <w:proofErr w:type="gramEnd"/>
      <w:r w:rsidR="00EF3BFC">
        <w:t xml:space="preserve"> </w:t>
      </w:r>
      <w:proofErr w:type="gramStart"/>
      <w:r w:rsidR="00EF3BFC">
        <w:t>в</w:t>
      </w:r>
      <w:proofErr w:type="gramEnd"/>
      <w:r w:rsidR="00EF3BFC">
        <w:t xml:space="preserve"> связи с </w:t>
      </w:r>
      <w:proofErr w:type="spellStart"/>
      <w:r w:rsidR="00EF3BFC">
        <w:t>непоступлением</w:t>
      </w:r>
      <w:proofErr w:type="spellEnd"/>
      <w:r w:rsidR="00EF3BFC">
        <w:t xml:space="preserve"> на расчетный счет средств (500,0 тыс. руб.)</w:t>
      </w:r>
      <w:r>
        <w:t>.</w:t>
      </w:r>
    </w:p>
    <w:p w:rsidR="00DE400F" w:rsidRPr="001074D8" w:rsidRDefault="00DE400F" w:rsidP="00DE400F">
      <w:pPr>
        <w:rPr>
          <w:b/>
          <w:bCs/>
        </w:rPr>
      </w:pPr>
    </w:p>
    <w:p w:rsidR="00DE400F" w:rsidRPr="001074D8" w:rsidRDefault="00DE400F" w:rsidP="00DE400F">
      <w:pPr>
        <w:pStyle w:val="a8"/>
        <w:numPr>
          <w:ilvl w:val="0"/>
          <w:numId w:val="3"/>
        </w:numPr>
        <w:jc w:val="center"/>
        <w:rPr>
          <w:b/>
          <w:bCs/>
        </w:rPr>
      </w:pPr>
      <w:r w:rsidRPr="001074D8">
        <w:rPr>
          <w:b/>
          <w:bCs/>
        </w:rPr>
        <w:t xml:space="preserve">  Использование средств резервного фонда.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 w:rsidRPr="001074D8">
        <w:t xml:space="preserve">Постановлением Главы поселения от 04.04.2012г. № 33   утверждено Положение «О порядке расходования резервного фонда Администрации </w:t>
      </w:r>
      <w:proofErr w:type="spellStart"/>
      <w:r w:rsidRPr="001074D8">
        <w:t>Богашевского</w:t>
      </w:r>
      <w:proofErr w:type="spellEnd"/>
      <w:r w:rsidRPr="001074D8">
        <w:t xml:space="preserve"> сельского</w:t>
      </w:r>
      <w:r>
        <w:rPr>
          <w:rFonts w:ascii="Times New Roman CYR" w:hAnsi="Times New Roman CYR" w:cs="Times New Roman CYR"/>
        </w:rPr>
        <w:t xml:space="preserve"> поселения по предупреждению и ликвидации чрезвычайных ситуаций и последствий стихийных бедствий». Постановлением Главы поселения от 18.08.2015 № 122 утверждено Положение «О порядке </w:t>
      </w:r>
      <w:proofErr w:type="gramStart"/>
      <w:r>
        <w:rPr>
          <w:rFonts w:ascii="Times New Roman CYR" w:hAnsi="Times New Roman CYR" w:cs="Times New Roman CYR"/>
        </w:rPr>
        <w:t>расходования средств фонда непредвиденных расходов Администрации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поселения».  Общий объем запланированных расходов  резервног</w:t>
      </w:r>
      <w:r w:rsidR="00643BBC">
        <w:rPr>
          <w:rFonts w:ascii="Times New Roman CYR" w:hAnsi="Times New Roman CYR" w:cs="Times New Roman CYR"/>
        </w:rPr>
        <w:t xml:space="preserve">о </w:t>
      </w:r>
      <w:r w:rsidR="00643BBC">
        <w:rPr>
          <w:rFonts w:ascii="Times New Roman CYR" w:hAnsi="Times New Roman CYR" w:cs="Times New Roman CYR"/>
        </w:rPr>
        <w:lastRenderedPageBreak/>
        <w:t>фонда составляет не более  0,4</w:t>
      </w:r>
      <w:r>
        <w:rPr>
          <w:rFonts w:ascii="Times New Roman CYR" w:hAnsi="Times New Roman CYR" w:cs="Times New Roman CYR"/>
        </w:rPr>
        <w:t xml:space="preserve">%  от расходной части  бюджета </w:t>
      </w:r>
      <w:proofErr w:type="spellStart"/>
      <w: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п.3 ст. 81 Бюджетного кодекса РФ. </w:t>
      </w:r>
      <w:r w:rsidR="00643BBC">
        <w:rPr>
          <w:rFonts w:ascii="Times New Roman CYR" w:hAnsi="Times New Roman CYR" w:cs="Times New Roman CYR"/>
        </w:rPr>
        <w:t>Средства резервного фонда в 2017 году  использованы</w:t>
      </w:r>
      <w:r>
        <w:rPr>
          <w:rFonts w:ascii="Times New Roman CYR" w:hAnsi="Times New Roman CYR" w:cs="Times New Roman CYR"/>
        </w:rPr>
        <w:t>:</w:t>
      </w:r>
      <w:r w:rsidR="00643BBC">
        <w:rPr>
          <w:rFonts w:ascii="Times New Roman CYR" w:hAnsi="Times New Roman CYR" w:cs="Times New Roman CYR"/>
        </w:rPr>
        <w:t xml:space="preserve"> 82,2</w:t>
      </w:r>
      <w:r>
        <w:rPr>
          <w:rFonts w:ascii="Times New Roman CYR" w:hAnsi="Times New Roman CYR" w:cs="Times New Roman CYR"/>
        </w:rPr>
        <w:t xml:space="preserve"> тыс. руб. на проведение мероприятий местного значения (подарки выпускникам школ, первоклассникам</w:t>
      </w:r>
      <w:r w:rsidR="00643BBC">
        <w:rPr>
          <w:rFonts w:ascii="Times New Roman CYR" w:hAnsi="Times New Roman CYR" w:cs="Times New Roman CYR"/>
        </w:rPr>
        <w:t>, проведение Дня села) и 69,5</w:t>
      </w:r>
      <w:r>
        <w:rPr>
          <w:rFonts w:ascii="Times New Roman CYR" w:hAnsi="Times New Roman CYR" w:cs="Times New Roman CYR"/>
        </w:rPr>
        <w:t xml:space="preserve"> тыс. руб. на оказание разовой материальной помощи гражданам.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 w:rsidR="00066803">
        <w:rPr>
          <w:rFonts w:ascii="Times New Roman CYR" w:hAnsi="Times New Roman CYR" w:cs="Times New Roman CYR"/>
          <w:bCs/>
        </w:rPr>
        <w:t xml:space="preserve"> сельского поселения в 2017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</w:t>
      </w:r>
    </w:p>
    <w:p w:rsidR="00DE400F" w:rsidRDefault="00DE400F" w:rsidP="00DE400F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DE400F" w:rsidRDefault="00DE400F" w:rsidP="00DE400F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DE400F" w:rsidTr="00DE400F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A576A4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2017</w:t>
            </w:r>
            <w:r w:rsidR="00DE400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E400F" w:rsidRDefault="00066803" w:rsidP="0006680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30</w:t>
            </w:r>
            <w:proofErr w:type="gramEnd"/>
          </w:p>
          <w:p w:rsidR="00DE400F" w:rsidRPr="00066803" w:rsidRDefault="0006680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30.12.2016</w:t>
            </w:r>
            <w:r w:rsidR="00DE400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DE400F" w:rsidRDefault="00A576A4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2017</w:t>
            </w:r>
            <w:r w:rsidR="00DE400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E400F" w:rsidRDefault="0006680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14</w:t>
            </w:r>
            <w:proofErr w:type="gramEnd"/>
          </w:p>
          <w:p w:rsidR="00DE400F" w:rsidRDefault="0006680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26.12.2017</w:t>
            </w:r>
            <w:r w:rsidR="00DE400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066803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</w:t>
            </w:r>
            <w:r w:rsidR="00DE400F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400F" w:rsidRDefault="00DE400F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DE400F" w:rsidTr="0006680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Pr="00066803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803">
              <w:rPr>
                <w:lang w:eastAsia="en-US"/>
              </w:rPr>
              <w:t>31263,0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Pr="00066803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803">
              <w:rPr>
                <w:lang w:eastAsia="en-US"/>
              </w:rPr>
              <w:t>47490,7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Pr="00066803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803">
              <w:rPr>
                <w:lang w:eastAsia="en-US"/>
              </w:rPr>
              <w:t>45440,7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00F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95,7</w:t>
            </w:r>
          </w:p>
        </w:tc>
      </w:tr>
      <w:tr w:rsidR="00DE400F" w:rsidTr="0006680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066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245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151,7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- 33,3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82,0</w:t>
            </w:r>
          </w:p>
        </w:tc>
      </w:tr>
      <w:tr w:rsidR="00DE400F" w:rsidTr="0006680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400F" w:rsidRDefault="00DE400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00F" w:rsidRDefault="00643B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DE400F" w:rsidRDefault="00DE400F" w:rsidP="00DE400F">
      <w:pPr>
        <w:rPr>
          <w:rFonts w:ascii="Times New Roman CYR" w:hAnsi="Times New Roman CYR" w:cs="Times New Roman CYR"/>
        </w:rPr>
      </w:pPr>
    </w:p>
    <w:p w:rsidR="00DE400F" w:rsidRDefault="00DE400F" w:rsidP="00DE400F">
      <w:pPr>
        <w:rPr>
          <w:rFonts w:ascii="Times New Roman CYR" w:hAnsi="Times New Roman CYR" w:cs="Times New Roman CYR"/>
        </w:rPr>
      </w:pPr>
    </w:p>
    <w:p w:rsidR="00DE400F" w:rsidRPr="001074D8" w:rsidRDefault="00DE400F" w:rsidP="00DE400F">
      <w:pPr>
        <w:pStyle w:val="a8"/>
        <w:numPr>
          <w:ilvl w:val="0"/>
          <w:numId w:val="3"/>
        </w:numPr>
        <w:jc w:val="center"/>
        <w:rPr>
          <w:b/>
        </w:rPr>
      </w:pPr>
      <w:r w:rsidRPr="001074D8">
        <w:rPr>
          <w:b/>
        </w:rPr>
        <w:t>Анализ состояния дебиторской и кредиторской задолженности.</w:t>
      </w:r>
      <w:bookmarkStart w:id="5" w:name="_GoBack"/>
      <w:bookmarkEnd w:id="5"/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2D1198">
        <w:rPr>
          <w:rFonts w:ascii="Times New Roman CYR" w:hAnsi="Times New Roman CYR" w:cs="Times New Roman CYR"/>
        </w:rPr>
        <w:t>рядителя ф 0503130 на 01.01.2017</w:t>
      </w:r>
      <w:r>
        <w:rPr>
          <w:rFonts w:ascii="Times New Roman CYR" w:hAnsi="Times New Roman CYR" w:cs="Times New Roman CYR"/>
        </w:rPr>
        <w:t>г и 01.01.201</w:t>
      </w:r>
      <w:r w:rsidR="002D1198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DE400F" w:rsidRDefault="00DE400F" w:rsidP="00DE400F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DE400F" w:rsidTr="00DE400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A576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DE400F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A576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01.01.2018</w:t>
            </w:r>
            <w:r w:rsidR="00DE400F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DE400F" w:rsidTr="002D11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7439,2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-7438,6</w:t>
            </w:r>
          </w:p>
        </w:tc>
      </w:tr>
      <w:tr w:rsidR="00DE400F" w:rsidTr="002D11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0F" w:rsidRDefault="00DE4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2510,4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2897,7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Default="002D11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+387,3</w:t>
            </w:r>
          </w:p>
        </w:tc>
      </w:tr>
    </w:tbl>
    <w:p w:rsidR="00DE400F" w:rsidRDefault="00DE400F" w:rsidP="00DE400F">
      <w:pPr>
        <w:rPr>
          <w:rFonts w:ascii="Times New Roman CYR" w:hAnsi="Times New Roman CYR" w:cs="Times New Roman CYR"/>
          <w:bCs/>
        </w:rPr>
      </w:pP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Дебиторская задолженность за</w:t>
      </w:r>
      <w:r w:rsidR="00A576A4">
        <w:rPr>
          <w:rFonts w:ascii="Times New Roman CYR" w:hAnsi="Times New Roman CYR" w:cs="Times New Roman CYR"/>
          <w:bCs/>
        </w:rPr>
        <w:t xml:space="preserve"> 2017</w:t>
      </w:r>
      <w:r w:rsidR="002D1198">
        <w:rPr>
          <w:rFonts w:ascii="Times New Roman CYR" w:hAnsi="Times New Roman CYR" w:cs="Times New Roman CYR"/>
          <w:bCs/>
        </w:rPr>
        <w:t xml:space="preserve"> год   уменьшилась на 7438,6 тыс. руб. и  на 01.01.2018г составляет   0,6 </w:t>
      </w:r>
      <w:r>
        <w:rPr>
          <w:rFonts w:ascii="Times New Roman CYR" w:hAnsi="Times New Roman CYR" w:cs="Times New Roman CYR"/>
          <w:bCs/>
        </w:rPr>
        <w:t>тыс. руб.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</w:t>
      </w:r>
      <w:r w:rsidR="002D1198">
        <w:rPr>
          <w:rFonts w:ascii="Times New Roman CYR" w:hAnsi="Times New Roman CYR" w:cs="Times New Roman CYR"/>
          <w:bCs/>
        </w:rPr>
        <w:t>орская задолженность увеличилась</w:t>
      </w:r>
      <w:r>
        <w:rPr>
          <w:rFonts w:ascii="Times New Roman CYR" w:hAnsi="Times New Roman CYR" w:cs="Times New Roman CYR"/>
          <w:bCs/>
        </w:rPr>
        <w:t xml:space="preserve"> н</w:t>
      </w:r>
      <w:r w:rsidR="002D1198">
        <w:rPr>
          <w:rFonts w:ascii="Times New Roman CYR" w:hAnsi="Times New Roman CYR" w:cs="Times New Roman CYR"/>
          <w:bCs/>
        </w:rPr>
        <w:t>а 387,3 тыс. руб. и на 01.01.2018г составляет 2897,7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DE400F" w:rsidRDefault="00DE400F" w:rsidP="001814AB">
      <w:pPr>
        <w:rPr>
          <w:b/>
          <w:bCs/>
          <w:color w:val="000000"/>
        </w:rPr>
      </w:pPr>
    </w:p>
    <w:p w:rsidR="00DE400F" w:rsidRDefault="00DE400F" w:rsidP="00DE400F">
      <w:pPr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Анализ движения нефинансовых активов.</w:t>
      </w:r>
    </w:p>
    <w:p w:rsidR="00E66125" w:rsidRDefault="00DE400F" w:rsidP="00E66125">
      <w:pPr>
        <w:ind w:firstLine="709"/>
        <w:jc w:val="both"/>
      </w:pPr>
      <w:r>
        <w:rPr>
          <w:b/>
          <w:bCs/>
          <w:color w:val="000000"/>
        </w:rPr>
        <w:t> </w:t>
      </w:r>
      <w:proofErr w:type="gramStart"/>
      <w:r w:rsidR="00E66125">
        <w:t xml:space="preserve">В Администрации </w:t>
      </w:r>
      <w:proofErr w:type="spellStart"/>
      <w:r w:rsidR="00E66125">
        <w:t>Богашевского</w:t>
      </w:r>
      <w:proofErr w:type="spellEnd"/>
      <w:r w:rsidR="00E66125">
        <w:t xml:space="preserve"> сельского поселения 01.11.2017г. (распоряжение</w:t>
      </w:r>
      <w:r w:rsidR="002711C0">
        <w:t xml:space="preserve">     </w:t>
      </w:r>
      <w:r w:rsidR="00E66125">
        <w:t>№ 78 от 01.11.2017г.)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 №142н).</w:t>
      </w:r>
      <w:proofErr w:type="gramEnd"/>
      <w:r w:rsidR="00E66125">
        <w:t xml:space="preserve"> Согласно таблице 6 формы 0503160 «Пояснительная записка» в результате инвентаризации расхождений не выявлено.</w:t>
      </w:r>
    </w:p>
    <w:p w:rsidR="00DE400F" w:rsidRDefault="00DE400F" w:rsidP="00DE400F">
      <w:pPr>
        <w:ind w:firstLine="720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DE400F" w:rsidRDefault="00DE400F" w:rsidP="00DE400F">
      <w:pPr>
        <w:ind w:firstLine="709"/>
        <w:jc w:val="both"/>
        <w:rPr>
          <w:color w:val="000000"/>
        </w:rPr>
      </w:pPr>
      <w:r>
        <w:rPr>
          <w:color w:val="000000"/>
        </w:rPr>
        <w:t>Стоимость</w:t>
      </w:r>
      <w:r w:rsidR="00B1234E">
        <w:rPr>
          <w:color w:val="000000"/>
        </w:rPr>
        <w:t xml:space="preserve"> основных средств на начало 2017 года составляла    227786,0</w:t>
      </w:r>
      <w:r>
        <w:rPr>
          <w:color w:val="000000"/>
        </w:rPr>
        <w:t xml:space="preserve"> тыс. рублей. </w:t>
      </w:r>
      <w:proofErr w:type="gramStart"/>
      <w:r>
        <w:rPr>
          <w:color w:val="000000"/>
        </w:rPr>
        <w:t>Поступило основных средств за отчетный период в сумм</w:t>
      </w:r>
      <w:r w:rsidR="00B1234E">
        <w:rPr>
          <w:color w:val="000000"/>
        </w:rPr>
        <w:t>е 12985,0</w:t>
      </w:r>
      <w:r>
        <w:rPr>
          <w:color w:val="000000"/>
        </w:rPr>
        <w:t xml:space="preserve"> тыс. рублей (</w:t>
      </w:r>
      <w:r w:rsidR="00B1234E">
        <w:rPr>
          <w:color w:val="000000"/>
        </w:rPr>
        <w:t xml:space="preserve">жилые помещения на сумму 10975,0 тыс. руб., </w:t>
      </w:r>
      <w:r>
        <w:rPr>
          <w:color w:val="000000"/>
        </w:rPr>
        <w:t>производственный и хоз</w:t>
      </w:r>
      <w:r w:rsidR="00B1234E">
        <w:rPr>
          <w:color w:val="000000"/>
        </w:rPr>
        <w:t>яйственный инвентарь в сумме 22,0</w:t>
      </w:r>
      <w:r>
        <w:rPr>
          <w:color w:val="000000"/>
        </w:rPr>
        <w:t xml:space="preserve"> тыс. рублей, маш</w:t>
      </w:r>
      <w:r w:rsidR="00B1234E">
        <w:rPr>
          <w:color w:val="000000"/>
        </w:rPr>
        <w:t>ины и оборудование в сумме 1838,0</w:t>
      </w:r>
      <w:r>
        <w:rPr>
          <w:color w:val="000000"/>
        </w:rPr>
        <w:t xml:space="preserve"> тыс.</w:t>
      </w:r>
      <w:r w:rsidR="00B1234E">
        <w:rPr>
          <w:color w:val="000000"/>
        </w:rPr>
        <w:t xml:space="preserve"> рублей, сооружения в сумме 150,0 тыс. руб.</w:t>
      </w:r>
      <w:r>
        <w:rPr>
          <w:color w:val="000000"/>
        </w:rPr>
        <w:t>), вы</w:t>
      </w:r>
      <w:r w:rsidR="00B1234E">
        <w:rPr>
          <w:color w:val="000000"/>
        </w:rPr>
        <w:t>бытие основных средств в сумме 64541,9</w:t>
      </w:r>
      <w:r>
        <w:rPr>
          <w:color w:val="000000"/>
        </w:rPr>
        <w:t xml:space="preserve"> тыс. руб. (</w:t>
      </w:r>
      <w:r w:rsidR="00B1234E">
        <w:rPr>
          <w:color w:val="000000"/>
        </w:rPr>
        <w:t>жилые помещения в сумме 55928,2 тыс. руб., сооружения в сумме 7634,2</w:t>
      </w:r>
      <w:proofErr w:type="gramEnd"/>
      <w:r>
        <w:rPr>
          <w:color w:val="000000"/>
        </w:rPr>
        <w:t xml:space="preserve"> тыс. руб., ма</w:t>
      </w:r>
      <w:r w:rsidR="00B1234E">
        <w:rPr>
          <w:color w:val="000000"/>
        </w:rPr>
        <w:t xml:space="preserve">шины и </w:t>
      </w:r>
      <w:r w:rsidR="00B1234E">
        <w:rPr>
          <w:color w:val="000000"/>
        </w:rPr>
        <w:lastRenderedPageBreak/>
        <w:t>оборудование в сумме 480,6 тыс. руб.,</w:t>
      </w:r>
      <w:r>
        <w:rPr>
          <w:color w:val="000000"/>
        </w:rPr>
        <w:t xml:space="preserve"> производственный и хоз</w:t>
      </w:r>
      <w:r w:rsidR="00B1234E">
        <w:rPr>
          <w:color w:val="000000"/>
        </w:rPr>
        <w:t>яйственный инвентарь в сумме 499,0</w:t>
      </w:r>
      <w:r>
        <w:rPr>
          <w:color w:val="000000"/>
        </w:rPr>
        <w:t xml:space="preserve"> тыс. руб.).  Остаток на конец отчетного периода состав</w:t>
      </w:r>
      <w:r w:rsidR="00B1234E">
        <w:rPr>
          <w:color w:val="000000"/>
        </w:rPr>
        <w:t>ил 176229,0</w:t>
      </w:r>
      <w:r>
        <w:rPr>
          <w:color w:val="000000"/>
        </w:rPr>
        <w:t xml:space="preserve"> тыс. рублей. 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Сумма начисленной амортизации по осно</w:t>
      </w:r>
      <w:r w:rsidR="00B1234E">
        <w:rPr>
          <w:color w:val="000000"/>
        </w:rPr>
        <w:t>вным средствам составила 111193,9</w:t>
      </w:r>
      <w:r>
        <w:rPr>
          <w:color w:val="000000"/>
        </w:rPr>
        <w:t xml:space="preserve"> тыс. рублей. </w:t>
      </w:r>
    </w:p>
    <w:p w:rsidR="00DE400F" w:rsidRDefault="00DE400F" w:rsidP="00DE400F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</w:t>
      </w:r>
      <w:r w:rsidR="00B1234E">
        <w:rPr>
          <w:color w:val="000000"/>
        </w:rPr>
        <w:t>ериальных запасов на начало 2017 года составляла 1070,8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Поступило материальных запасов за</w:t>
      </w:r>
      <w:r w:rsidR="00B1234E">
        <w:rPr>
          <w:color w:val="000000"/>
        </w:rPr>
        <w:t xml:space="preserve"> отчетный период в сумме  2048,6</w:t>
      </w:r>
      <w:r>
        <w:rPr>
          <w:color w:val="000000"/>
        </w:rPr>
        <w:t xml:space="preserve"> т</w:t>
      </w:r>
      <w:r w:rsidR="00B1234E">
        <w:rPr>
          <w:color w:val="000000"/>
        </w:rPr>
        <w:t>ыс. руб., выбыло – 2122,8</w:t>
      </w:r>
      <w:r>
        <w:rPr>
          <w:color w:val="000000"/>
        </w:rPr>
        <w:t xml:space="preserve"> тыс. рублей. На конец </w:t>
      </w:r>
      <w:r w:rsidR="00B1234E">
        <w:rPr>
          <w:color w:val="000000"/>
        </w:rPr>
        <w:t>отчетного периода остаток 996,6</w:t>
      </w:r>
      <w:r>
        <w:rPr>
          <w:color w:val="000000"/>
        </w:rPr>
        <w:t xml:space="preserve"> тыс. руб.</w:t>
      </w:r>
    </w:p>
    <w:p w:rsidR="00DE400F" w:rsidRDefault="00DE400F" w:rsidP="00DE400F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DE400F" w:rsidRDefault="00DE400F" w:rsidP="00DE400F">
      <w:pPr>
        <w:ind w:right="-81" w:firstLine="708"/>
        <w:jc w:val="both"/>
        <w:rPr>
          <w:color w:val="000000"/>
        </w:rPr>
      </w:pPr>
    </w:p>
    <w:p w:rsidR="00DE400F" w:rsidRPr="001074D8" w:rsidRDefault="00DE400F" w:rsidP="00DE400F">
      <w:pPr>
        <w:rPr>
          <w:b/>
          <w:bCs/>
        </w:rPr>
      </w:pPr>
      <w:r w:rsidRPr="001074D8">
        <w:rPr>
          <w:b/>
          <w:bCs/>
        </w:rPr>
        <w:t>Выводы:</w:t>
      </w:r>
    </w:p>
    <w:p w:rsidR="00DE400F" w:rsidRPr="001074D8" w:rsidRDefault="00DE400F" w:rsidP="00DE400F">
      <w:pPr>
        <w:rPr>
          <w:b/>
          <w:bCs/>
        </w:rPr>
      </w:pPr>
    </w:p>
    <w:p w:rsidR="00DE400F" w:rsidRDefault="00DE400F" w:rsidP="00DE400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</w:t>
      </w:r>
      <w:r w:rsidR="00B1234E">
        <w:t>12.2010 № 191н (в редакции от 02.11.2017</w:t>
      </w:r>
      <w:r>
        <w:t>г</w:t>
      </w:r>
      <w:r w:rsidR="00B1234E">
        <w:t xml:space="preserve"> № 176н</w:t>
      </w:r>
      <w:r>
        <w:t>), с соблюдением  сроков, определенных</w:t>
      </w:r>
      <w:proofErr w:type="gramEnd"/>
      <w:r>
        <w:t xml:space="preserve"> Бюджетным кодексом РФ и Положением «О бюджетном процессе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Богашевское</w:t>
      </w:r>
      <w:proofErr w:type="spellEnd"/>
      <w:r>
        <w:t xml:space="preserve"> сельское поселение». </w:t>
      </w:r>
    </w:p>
    <w:p w:rsidR="00DE400F" w:rsidRDefault="00DE400F" w:rsidP="00DE400F">
      <w:pPr>
        <w:tabs>
          <w:tab w:val="left" w:pos="1620"/>
        </w:tabs>
        <w:ind w:firstLine="709"/>
        <w:jc w:val="both"/>
      </w:pPr>
      <w: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</w:t>
      </w:r>
      <w:r w:rsidR="00B1234E">
        <w:t>2017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DE400F" w:rsidRDefault="00DE400F" w:rsidP="00DE400F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DE400F" w:rsidRDefault="00DE400F" w:rsidP="00DE400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Богашевского</w:t>
      </w:r>
      <w:proofErr w:type="spellEnd"/>
      <w:r>
        <w:rPr>
          <w:rFonts w:ascii="Times New Roman CYR" w:hAnsi="Times New Roman CYR" w:cs="Times New Roman CYR"/>
        </w:rPr>
        <w:t xml:space="preserve">  </w:t>
      </w:r>
      <w:r w:rsidR="00B1234E">
        <w:rPr>
          <w:rFonts w:ascii="Times New Roman CYR" w:hAnsi="Times New Roman CYR" w:cs="Times New Roman CYR"/>
          <w:bCs/>
        </w:rPr>
        <w:t xml:space="preserve"> сельского поселения за 2017</w:t>
      </w:r>
      <w:r>
        <w:rPr>
          <w:rFonts w:ascii="Times New Roman CYR" w:hAnsi="Times New Roman CYR" w:cs="Times New Roman CYR"/>
          <w:bCs/>
        </w:rPr>
        <w:t xml:space="preserve"> год к утверждению. </w:t>
      </w:r>
    </w:p>
    <w:p w:rsidR="00DE400F" w:rsidRDefault="00DE400F" w:rsidP="00DE400F">
      <w:pPr>
        <w:ind w:firstLine="709"/>
        <w:jc w:val="both"/>
        <w:rPr>
          <w:color w:val="000000"/>
        </w:rPr>
      </w:pPr>
      <w:r w:rsidRPr="001814AB">
        <w:rPr>
          <w:rFonts w:ascii="Times New Roman CYR" w:hAnsi="Times New Roman CYR" w:cs="Times New Roman CYR"/>
          <w:bCs/>
        </w:rPr>
        <w:t xml:space="preserve">5. </w:t>
      </w:r>
      <w:r w:rsidRPr="001814AB">
        <w:rPr>
          <w:lang w:eastAsia="ar-SA"/>
        </w:rPr>
        <w:t xml:space="preserve">Администрации сельского поселения необходимо </w:t>
      </w:r>
      <w:r w:rsidRPr="001814AB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B1234E" w:rsidRPr="001814AB">
        <w:rPr>
          <w:color w:val="000000"/>
        </w:rPr>
        <w:t>телей бюджетных средств  за 2018</w:t>
      </w:r>
      <w:r w:rsidRPr="001814AB">
        <w:rPr>
          <w:color w:val="000000"/>
        </w:rPr>
        <w:t xml:space="preserve"> год.</w:t>
      </w:r>
    </w:p>
    <w:p w:rsidR="00DE400F" w:rsidRDefault="00DE400F" w:rsidP="00DE400F">
      <w:pPr>
        <w:ind w:firstLine="709"/>
        <w:jc w:val="both"/>
        <w:rPr>
          <w:color w:val="000000"/>
        </w:rPr>
      </w:pPr>
    </w:p>
    <w:p w:rsidR="001814AB" w:rsidRDefault="001814AB" w:rsidP="00DE400F">
      <w:pPr>
        <w:ind w:firstLine="709"/>
        <w:jc w:val="both"/>
        <w:rPr>
          <w:color w:val="000000"/>
        </w:rPr>
      </w:pPr>
    </w:p>
    <w:p w:rsidR="001814AB" w:rsidRDefault="001814AB" w:rsidP="00DE400F">
      <w:pPr>
        <w:ind w:firstLine="709"/>
        <w:jc w:val="both"/>
        <w:rPr>
          <w:color w:val="000000"/>
        </w:rPr>
      </w:pPr>
    </w:p>
    <w:p w:rsidR="00DE400F" w:rsidRDefault="00DE400F" w:rsidP="00DE400F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DE400F" w:rsidRDefault="00DE400F" w:rsidP="00DE400F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DE400F" w:rsidRDefault="00DE400F" w:rsidP="00DE400F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                    Г.М. </w:t>
      </w:r>
      <w:proofErr w:type="spellStart"/>
      <w:r>
        <w:rPr>
          <w:rFonts w:ascii="Times New Roman CYR" w:hAnsi="Times New Roman CYR" w:cs="Times New Roman CYR"/>
        </w:rPr>
        <w:t>Басирова</w:t>
      </w:r>
      <w:proofErr w:type="spellEnd"/>
    </w:p>
    <w:p w:rsidR="00DE400F" w:rsidRDefault="00DE400F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1814AB" w:rsidRDefault="001814AB" w:rsidP="00DE400F">
      <w:pPr>
        <w:rPr>
          <w:rFonts w:ascii="Times New Roman CYR" w:hAnsi="Times New Roman CYR" w:cs="Times New Roman CYR"/>
        </w:rPr>
      </w:pPr>
    </w:p>
    <w:p w:rsidR="00DE400F" w:rsidRDefault="00DE400F" w:rsidP="00DE400F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9 (девяти) листах получен</w:t>
      </w:r>
    </w:p>
    <w:p w:rsidR="00DE400F" w:rsidRDefault="00DE400F" w:rsidP="00DE400F">
      <w:pPr>
        <w:rPr>
          <w:rFonts w:ascii="Times New Roman CYR" w:hAnsi="Times New Roman CYR" w:cs="Times New Roman CYR"/>
          <w:sz w:val="20"/>
          <w:szCs w:val="20"/>
        </w:rPr>
      </w:pPr>
    </w:p>
    <w:p w:rsidR="00DE400F" w:rsidRDefault="00DE400F" w:rsidP="00DE400F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sectPr w:rsidR="00DE400F" w:rsidSect="00536375"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89" w:rsidRDefault="00A57989" w:rsidP="00536375">
      <w:r>
        <w:separator/>
      </w:r>
    </w:p>
  </w:endnote>
  <w:endnote w:type="continuationSeparator" w:id="0">
    <w:p w:rsidR="00A57989" w:rsidRDefault="00A57989" w:rsidP="005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04673"/>
      <w:docPartObj>
        <w:docPartGallery w:val="Page Numbers (Bottom of Page)"/>
        <w:docPartUnique/>
      </w:docPartObj>
    </w:sdtPr>
    <w:sdtEndPr/>
    <w:sdtContent>
      <w:p w:rsidR="00536375" w:rsidRDefault="005363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A4">
          <w:rPr>
            <w:noProof/>
          </w:rPr>
          <w:t>8</w:t>
        </w:r>
        <w:r>
          <w:fldChar w:fldCharType="end"/>
        </w:r>
      </w:p>
    </w:sdtContent>
  </w:sdt>
  <w:p w:rsidR="00536375" w:rsidRDefault="005363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89" w:rsidRDefault="00A57989" w:rsidP="00536375">
      <w:r>
        <w:separator/>
      </w:r>
    </w:p>
  </w:footnote>
  <w:footnote w:type="continuationSeparator" w:id="0">
    <w:p w:rsidR="00A57989" w:rsidRDefault="00A57989" w:rsidP="0053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0F"/>
    <w:rsid w:val="00066803"/>
    <w:rsid w:val="000E7E59"/>
    <w:rsid w:val="001074D8"/>
    <w:rsid w:val="001572EE"/>
    <w:rsid w:val="001709B8"/>
    <w:rsid w:val="001814AB"/>
    <w:rsid w:val="00214A4D"/>
    <w:rsid w:val="002711C0"/>
    <w:rsid w:val="002D1198"/>
    <w:rsid w:val="002D2FA5"/>
    <w:rsid w:val="002F6545"/>
    <w:rsid w:val="003A4EC6"/>
    <w:rsid w:val="003F207F"/>
    <w:rsid w:val="00483C22"/>
    <w:rsid w:val="004A3C22"/>
    <w:rsid w:val="004D31FC"/>
    <w:rsid w:val="00536375"/>
    <w:rsid w:val="005F6FD2"/>
    <w:rsid w:val="0061036C"/>
    <w:rsid w:val="006245FA"/>
    <w:rsid w:val="00643BBC"/>
    <w:rsid w:val="00651B89"/>
    <w:rsid w:val="00786A88"/>
    <w:rsid w:val="00864260"/>
    <w:rsid w:val="008B7EB1"/>
    <w:rsid w:val="0097122C"/>
    <w:rsid w:val="009B40F3"/>
    <w:rsid w:val="00A576A4"/>
    <w:rsid w:val="00A57989"/>
    <w:rsid w:val="00A879CD"/>
    <w:rsid w:val="00AA25FC"/>
    <w:rsid w:val="00B1234E"/>
    <w:rsid w:val="00D40428"/>
    <w:rsid w:val="00DE400F"/>
    <w:rsid w:val="00DE6CAC"/>
    <w:rsid w:val="00E534CC"/>
    <w:rsid w:val="00E5632F"/>
    <w:rsid w:val="00E66125"/>
    <w:rsid w:val="00EE4C3D"/>
    <w:rsid w:val="00EF3BFC"/>
    <w:rsid w:val="00F35F5D"/>
    <w:rsid w:val="00F64A47"/>
    <w:rsid w:val="00F75F59"/>
    <w:rsid w:val="00F82DBD"/>
    <w:rsid w:val="00F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00F"/>
    <w:rPr>
      <w:color w:val="0000FF"/>
      <w:u w:val="single"/>
    </w:rPr>
  </w:style>
  <w:style w:type="paragraph" w:styleId="a4">
    <w:name w:val="Normal (Web)"/>
    <w:basedOn w:val="a"/>
    <w:semiHidden/>
    <w:unhideWhenUsed/>
    <w:rsid w:val="00DE400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E400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4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E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E400F"/>
    <w:pPr>
      <w:ind w:left="720"/>
      <w:contextualSpacing/>
    </w:pPr>
  </w:style>
  <w:style w:type="paragraph" w:customStyle="1" w:styleId="ConsNormal">
    <w:name w:val="ConsNormal"/>
    <w:uiPriority w:val="99"/>
    <w:semiHidden/>
    <w:rsid w:val="00DE4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DE4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DE400F"/>
  </w:style>
  <w:style w:type="table" w:styleId="a9">
    <w:name w:val="Table Grid"/>
    <w:basedOn w:val="a1"/>
    <w:uiPriority w:val="99"/>
    <w:rsid w:val="00DE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6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36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3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00F"/>
    <w:rPr>
      <w:color w:val="0000FF"/>
      <w:u w:val="single"/>
    </w:rPr>
  </w:style>
  <w:style w:type="paragraph" w:styleId="a4">
    <w:name w:val="Normal (Web)"/>
    <w:basedOn w:val="a"/>
    <w:semiHidden/>
    <w:unhideWhenUsed/>
    <w:rsid w:val="00DE400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E400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4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E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E400F"/>
    <w:pPr>
      <w:ind w:left="720"/>
      <w:contextualSpacing/>
    </w:pPr>
  </w:style>
  <w:style w:type="paragraph" w:customStyle="1" w:styleId="ConsNormal">
    <w:name w:val="ConsNormal"/>
    <w:uiPriority w:val="99"/>
    <w:semiHidden/>
    <w:rsid w:val="00DE4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DE4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DE400F"/>
  </w:style>
  <w:style w:type="table" w:styleId="a9">
    <w:name w:val="Table Grid"/>
    <w:basedOn w:val="a1"/>
    <w:uiPriority w:val="99"/>
    <w:rsid w:val="00DE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6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36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3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CCF0Fv8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FCC0Fv9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F0Fv8D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FCF0Fv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1E33-BA20-47F4-96A8-59300ED6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2018-06-08T08:17:00Z</cp:lastPrinted>
  <dcterms:created xsi:type="dcterms:W3CDTF">2018-05-17T06:23:00Z</dcterms:created>
  <dcterms:modified xsi:type="dcterms:W3CDTF">2018-06-08T08:17:00Z</dcterms:modified>
</cp:coreProperties>
</file>